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649" w:rsidRDefault="00C04649" w:rsidP="00C04649">
      <w:pPr>
        <w:rPr>
          <w:rFonts w:ascii="Helvetica" w:hAnsi="Helvetica" w:cs="Helvetica"/>
          <w:color w:val="333333"/>
          <w:sz w:val="23"/>
          <w:szCs w:val="23"/>
          <w:shd w:val="clear" w:color="auto" w:fill="FFFFFF"/>
        </w:rPr>
      </w:pPr>
      <w:bookmarkStart w:id="0" w:name="_GoBack"/>
      <w:bookmarkEnd w:id="0"/>
      <w:r>
        <w:rPr>
          <w:rFonts w:ascii="Helvetica" w:hAnsi="Helvetica" w:cs="Helvetica"/>
          <w:color w:val="333333"/>
          <w:sz w:val="23"/>
          <w:szCs w:val="23"/>
          <w:shd w:val="clear" w:color="auto" w:fill="FFFFFF"/>
        </w:rPr>
        <w:t>Query:</w:t>
      </w:r>
    </w:p>
    <w:p w:rsidR="00C04649" w:rsidRDefault="00C04649" w:rsidP="00C04649">
      <w:pPr>
        <w:pStyle w:val="indent1a"/>
        <w:shd w:val="clear" w:color="auto" w:fill="FFFFFF"/>
        <w:spacing w:before="0" w:beforeAutospacing="0" w:after="80" w:afterAutospacing="0"/>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44ADA - remuneration to partner</w:t>
      </w:r>
      <w:r>
        <w:rPr>
          <w:rFonts w:ascii="Helvetica" w:hAnsi="Helvetica" w:cs="Helvetica"/>
          <w:color w:val="333333"/>
          <w:sz w:val="23"/>
          <w:szCs w:val="23"/>
        </w:rPr>
        <w:br/>
      </w:r>
      <w:r>
        <w:rPr>
          <w:rFonts w:ascii="Helvetica" w:hAnsi="Helvetica" w:cs="Helvetica"/>
          <w:color w:val="333333"/>
          <w:sz w:val="23"/>
          <w:szCs w:val="23"/>
        </w:rPr>
        <w:br/>
      </w:r>
      <w:r>
        <w:rPr>
          <w:rFonts w:ascii="Helvetica" w:hAnsi="Helvetica" w:cs="Helvetica"/>
          <w:color w:val="333333"/>
          <w:sz w:val="23"/>
          <w:szCs w:val="23"/>
          <w:shd w:val="clear" w:color="auto" w:fill="FFFFFF"/>
        </w:rPr>
        <w:t>if a professional (Say CA, Lawyer etc.) receives professional fees from the firm in which he is a partner, can he claim exemption u/s 44ADA in his personal Income tax Return?</w:t>
      </w:r>
      <w:r>
        <w:rPr>
          <w:rFonts w:ascii="Helvetica" w:hAnsi="Helvetica" w:cs="Helvetica"/>
          <w:color w:val="333333"/>
          <w:sz w:val="23"/>
          <w:szCs w:val="23"/>
        </w:rPr>
        <w:br/>
      </w:r>
      <w:r>
        <w:rPr>
          <w:rFonts w:ascii="Helvetica" w:hAnsi="Helvetica" w:cs="Helvetica"/>
          <w:color w:val="333333"/>
          <w:sz w:val="23"/>
          <w:szCs w:val="23"/>
        </w:rPr>
        <w:br/>
      </w:r>
    </w:p>
    <w:p w:rsidR="00C04649" w:rsidRDefault="00C04649" w:rsidP="00C04649">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Opinion:</w:t>
      </w:r>
    </w:p>
    <w:p w:rsidR="00C04649" w:rsidRDefault="00C04649" w:rsidP="00C04649">
      <w:pPr>
        <w:pStyle w:val="tx"/>
        <w:numPr>
          <w:ilvl w:val="0"/>
          <w:numId w:val="14"/>
        </w:numPr>
        <w:shd w:val="clear" w:color="auto" w:fill="FFFFFF"/>
        <w:spacing w:before="0" w:beforeAutospacing="0" w:after="80" w:afterAutospacing="0"/>
        <w:jc w:val="both"/>
        <w:rPr>
          <w:color w:val="444444"/>
        </w:rPr>
      </w:pPr>
      <w:r>
        <w:rPr>
          <w:rFonts w:ascii="Helvetica" w:hAnsi="Helvetica" w:cs="Helvetica"/>
          <w:color w:val="333333"/>
          <w:sz w:val="23"/>
          <w:szCs w:val="23"/>
          <w:shd w:val="clear" w:color="auto" w:fill="FFFFFF"/>
        </w:rPr>
        <w:t xml:space="preserve">Under Section </w:t>
      </w:r>
      <w:r>
        <w:rPr>
          <w:b/>
          <w:bCs/>
          <w:color w:val="444444"/>
        </w:rPr>
        <w:t>184.</w:t>
      </w:r>
      <w:r>
        <w:rPr>
          <w:rStyle w:val="apple-converted-space"/>
          <w:b/>
          <w:bCs/>
          <w:color w:val="444444"/>
        </w:rPr>
        <w:t> </w:t>
      </w:r>
      <w:r>
        <w:rPr>
          <w:color w:val="444444"/>
        </w:rPr>
        <w:t>(1) A firm shall be assessed as a firm for the purposes of this Act, if—</w:t>
      </w:r>
    </w:p>
    <w:p w:rsidR="00C04649" w:rsidRDefault="00C04649" w:rsidP="00C04649">
      <w:pPr>
        <w:pStyle w:val="indent1"/>
        <w:shd w:val="clear" w:color="auto" w:fill="FFFFFF"/>
        <w:spacing w:before="0" w:beforeAutospacing="0" w:after="80" w:afterAutospacing="0"/>
        <w:ind w:left="1117" w:hanging="397"/>
        <w:jc w:val="both"/>
        <w:rPr>
          <w:color w:val="444444"/>
        </w:rPr>
      </w:pPr>
      <w:r>
        <w:rPr>
          <w:color w:val="444444"/>
        </w:rPr>
        <w:t>  (</w:t>
      </w:r>
      <w:r>
        <w:rPr>
          <w:i/>
          <w:iCs/>
          <w:color w:val="444444"/>
        </w:rPr>
        <w:t>i</w:t>
      </w:r>
      <w:r>
        <w:rPr>
          <w:color w:val="444444"/>
        </w:rPr>
        <w:t>) the partnership is evidenced by an instrument; and</w:t>
      </w:r>
    </w:p>
    <w:p w:rsidR="00C04649" w:rsidRDefault="00C04649" w:rsidP="00C04649">
      <w:pPr>
        <w:pStyle w:val="indent1"/>
        <w:shd w:val="clear" w:color="auto" w:fill="FFFFFF"/>
        <w:spacing w:before="0" w:beforeAutospacing="0" w:after="80" w:afterAutospacing="0"/>
        <w:ind w:left="1117" w:hanging="397"/>
        <w:jc w:val="both"/>
        <w:rPr>
          <w:color w:val="444444"/>
        </w:rPr>
      </w:pPr>
      <w:r>
        <w:rPr>
          <w:color w:val="444444"/>
        </w:rPr>
        <w:t> (</w:t>
      </w:r>
      <w:r>
        <w:rPr>
          <w:i/>
          <w:iCs/>
          <w:color w:val="444444"/>
        </w:rPr>
        <w:t>ii</w:t>
      </w:r>
      <w:r>
        <w:rPr>
          <w:color w:val="444444"/>
        </w:rPr>
        <w:t>) the individual shares of the partners are specified in that instrument.</w:t>
      </w:r>
    </w:p>
    <w:p w:rsidR="00C04649" w:rsidRDefault="00C04649" w:rsidP="00C04649">
      <w:pPr>
        <w:pStyle w:val="indent1"/>
        <w:numPr>
          <w:ilvl w:val="0"/>
          <w:numId w:val="14"/>
        </w:numPr>
        <w:shd w:val="clear" w:color="auto" w:fill="FFFFFF"/>
        <w:spacing w:before="0" w:beforeAutospacing="0" w:after="80" w:afterAutospacing="0"/>
        <w:jc w:val="both"/>
        <w:rPr>
          <w:color w:val="444444"/>
        </w:rPr>
      </w:pPr>
      <w:r>
        <w:rPr>
          <w:color w:val="444444"/>
        </w:rPr>
        <w:t>Under Section 28 clause (</w:t>
      </w:r>
      <w:r>
        <w:rPr>
          <w:i/>
          <w:iCs/>
          <w:color w:val="444444"/>
        </w:rPr>
        <w:t>v</w:t>
      </w:r>
      <w:r>
        <w:rPr>
          <w:color w:val="444444"/>
        </w:rPr>
        <w:t>) The following income shall be chargeable to income-tax under the head "Profits and gains of business or profession",—</w:t>
      </w:r>
    </w:p>
    <w:p w:rsidR="00C04649" w:rsidRDefault="00C04649" w:rsidP="00C04649">
      <w:pPr>
        <w:pStyle w:val="indent1"/>
        <w:numPr>
          <w:ilvl w:val="1"/>
          <w:numId w:val="14"/>
        </w:numPr>
        <w:shd w:val="clear" w:color="auto" w:fill="FFFFFF"/>
        <w:spacing w:before="0" w:beforeAutospacing="0" w:after="80" w:afterAutospacing="0"/>
        <w:jc w:val="both"/>
        <w:rPr>
          <w:color w:val="444444"/>
        </w:rPr>
      </w:pPr>
      <w:r>
        <w:rPr>
          <w:color w:val="444444"/>
        </w:rPr>
        <w:t>any interest, salary, bonus, commission or remuneration, by whatever name called, due to, or received by, a partner of a firm from such firm :</w:t>
      </w:r>
    </w:p>
    <w:p w:rsidR="00C04649" w:rsidRDefault="00C04649" w:rsidP="00C04649">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color w:val="444444"/>
        </w:rPr>
        <w:t>that where any interest, salary, bonus, commission or remuneration, by whatever name called, or any part thereof has not been allowed to be deducted under clause (</w:t>
      </w:r>
      <w:r>
        <w:rPr>
          <w:i/>
          <w:iCs/>
          <w:color w:val="444444"/>
        </w:rPr>
        <w:t>b</w:t>
      </w:r>
      <w:r>
        <w:rPr>
          <w:color w:val="444444"/>
        </w:rPr>
        <w:t>) of</w:t>
      </w:r>
      <w:r>
        <w:rPr>
          <w:rStyle w:val="apple-converted-space"/>
          <w:color w:val="444444"/>
        </w:rPr>
        <w:t> </w:t>
      </w:r>
      <w:hyperlink r:id="rId8" w:history="1">
        <w:r>
          <w:rPr>
            <w:rStyle w:val="Hyperlink"/>
            <w:color w:val="663399"/>
          </w:rPr>
          <w:t>section 40</w:t>
        </w:r>
      </w:hyperlink>
      <w:r>
        <w:rPr>
          <w:color w:val="444444"/>
        </w:rPr>
        <w:t>, the income under this clause shall be adjusted to the extent of the amount not so allowed to be deducted ;</w:t>
      </w:r>
    </w:p>
    <w:p w:rsidR="00C04649" w:rsidRDefault="00C04649" w:rsidP="00C04649">
      <w:pPr>
        <w:pStyle w:val="indent1"/>
        <w:numPr>
          <w:ilvl w:val="0"/>
          <w:numId w:val="14"/>
        </w:numPr>
        <w:shd w:val="clear" w:color="auto" w:fill="FFFFFF"/>
        <w:spacing w:before="0" w:beforeAutospacing="0" w:after="80" w:afterAutospacing="0"/>
        <w:jc w:val="both"/>
        <w:rPr>
          <w:color w:val="444444"/>
        </w:rPr>
      </w:pPr>
      <w:r>
        <w:rPr>
          <w:color w:val="444444"/>
        </w:rPr>
        <w:t>Under clause (b) of section 40 , Notwithstanding anything to the contrary in</w:t>
      </w:r>
      <w:r>
        <w:rPr>
          <w:rStyle w:val="apple-converted-space"/>
          <w:color w:val="444444"/>
        </w:rPr>
        <w:t> </w:t>
      </w:r>
      <w:hyperlink r:id="rId9" w:history="1">
        <w:r>
          <w:rPr>
            <w:rStyle w:val="Hyperlink"/>
            <w:color w:val="663399"/>
          </w:rPr>
          <w:t>sections 30</w:t>
        </w:r>
      </w:hyperlink>
      <w:r>
        <w:rPr>
          <w:rStyle w:val="apple-converted-space"/>
          <w:color w:val="444444"/>
        </w:rPr>
        <w:t> </w:t>
      </w:r>
      <w:r>
        <w:rPr>
          <w:color w:val="444444"/>
        </w:rPr>
        <w:t>to</w:t>
      </w:r>
      <w:r>
        <w:rPr>
          <w:rStyle w:val="apple-converted-space"/>
          <w:color w:val="444444"/>
        </w:rPr>
        <w:t> </w:t>
      </w:r>
      <w:hyperlink r:id="rId10" w:history="1">
        <w:r>
          <w:rPr>
            <w:rStyle w:val="Hyperlink"/>
            <w:color w:val="663399"/>
          </w:rPr>
          <w:t>38</w:t>
        </w:r>
      </w:hyperlink>
      <w:r>
        <w:rPr>
          <w:color w:val="444444"/>
        </w:rPr>
        <w:t>, the following amounts shall not be deducted in computing the income chargeable under the head "Profits and gains of business or profession",—in the case of any firm assessable as such,—</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any payment of salary, bonus, commission or remuneration, by whatever name called (hereinafter referred to as "remuneration") to any partner who is not a working partner;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w:t>
      </w:r>
      <w:r>
        <w:rPr>
          <w:color w:val="444444"/>
        </w:rPr>
        <w:t>)  any payment of remuneration to any partner who is a working partner, or of interest to any partner, which, in either case, is not authorised by, or is not in accordance with, the terms of the partnership deed;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iii</w:t>
      </w:r>
      <w:r>
        <w:rPr>
          <w:color w:val="444444"/>
        </w:rPr>
        <w:t>) any payment of remuneration to any partner who is a working partner, or of interest to any partner, which, in either case, is authorised by, and is in accordance with, the terms of the partnership deed, but which relates to any period (falling prior to the date of such partnership deed) for which such payment was not authorised by, or is not in accordance with, any earlier partnership deed, so, however, that the period of authorisation for such payment by any earlier partnership deed does not cover any period prior to the date of such earlier partnership deed;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iv</w:t>
      </w:r>
      <w:r>
        <w:rPr>
          <w:color w:val="444444"/>
        </w:rPr>
        <w:t xml:space="preserve">)  any payment of interest to any partner which is authorised by, and is in accordance with, the terms of the partnership deed and relates to any period falling after the </w:t>
      </w:r>
      <w:r>
        <w:rPr>
          <w:color w:val="444444"/>
        </w:rPr>
        <w:lastRenderedPageBreak/>
        <w:t>date of such partnership deed in so far as such amount exceeds the amount calculated at the rate of twelve per cent simple interest per annum;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v</w:t>
      </w:r>
      <w:r>
        <w:rPr>
          <w:color w:val="444444"/>
        </w:rPr>
        <w:t>)  any payment of remuneration to any partner who is a working partner, which is authorised by, and is in accordance with, the terms of the partnership deed and relates to any period falling after the date of such partnership deed in so far as the amount of such payment to all the partners during the previous year exceeds the aggregate amount computed as hereunder:—</w:t>
      </w:r>
    </w:p>
    <w:tbl>
      <w:tblPr>
        <w:tblW w:w="4608" w:type="pct"/>
        <w:tblInd w:w="510" w:type="dxa"/>
        <w:tblCellMar>
          <w:top w:w="60" w:type="dxa"/>
          <w:left w:w="60" w:type="dxa"/>
          <w:bottom w:w="60" w:type="dxa"/>
          <w:right w:w="60" w:type="dxa"/>
        </w:tblCellMar>
        <w:tblLook w:val="04A0" w:firstRow="1" w:lastRow="0" w:firstColumn="1" w:lastColumn="0" w:noHBand="0" w:noVBand="1"/>
      </w:tblPr>
      <w:tblGrid>
        <w:gridCol w:w="273"/>
        <w:gridCol w:w="3590"/>
        <w:gridCol w:w="4455"/>
      </w:tblGrid>
      <w:tr w:rsidR="00C04649" w:rsidTr="003D734E">
        <w:trPr>
          <w:trHeight w:val="478"/>
        </w:trPr>
        <w:tc>
          <w:tcPr>
            <w:tcW w:w="164" w:type="pct"/>
            <w:vAlign w:val="center"/>
            <w:hideMark/>
          </w:tcPr>
          <w:p w:rsidR="00C04649" w:rsidRDefault="00C04649" w:rsidP="003D734E">
            <w:pPr>
              <w:spacing w:after="80"/>
              <w:jc w:val="both"/>
            </w:pPr>
            <w:r>
              <w:t> </w:t>
            </w:r>
          </w:p>
        </w:tc>
        <w:tc>
          <w:tcPr>
            <w:tcW w:w="2158" w:type="pct"/>
            <w:hideMark/>
          </w:tcPr>
          <w:p w:rsidR="00C04649" w:rsidRDefault="00C04649" w:rsidP="003D734E">
            <w:pPr>
              <w:pStyle w:val="tx"/>
              <w:spacing w:before="0" w:beforeAutospacing="0" w:after="80" w:afterAutospacing="0"/>
              <w:jc w:val="both"/>
            </w:pPr>
            <w:r>
              <w:t>(</w:t>
            </w:r>
            <w:r>
              <w:rPr>
                <w:i/>
                <w:iCs/>
              </w:rPr>
              <w:t>a</w:t>
            </w:r>
            <w:r>
              <w:t>) on the first Rs. 3,00,000 of the book-profit or in case of a loss</w:t>
            </w:r>
          </w:p>
        </w:tc>
        <w:tc>
          <w:tcPr>
            <w:tcW w:w="2678" w:type="pct"/>
            <w:hideMark/>
          </w:tcPr>
          <w:p w:rsidR="00C04649" w:rsidRDefault="00C04649" w:rsidP="003D734E">
            <w:pPr>
              <w:pStyle w:val="tx"/>
              <w:spacing w:before="0" w:beforeAutospacing="0" w:after="80" w:afterAutospacing="0"/>
              <w:jc w:val="both"/>
            </w:pPr>
            <w:r>
              <w:t>Rs. 1,50,000 or at the  rate of 90 per cent of  the book-profit, which-ever is more;</w:t>
            </w:r>
          </w:p>
        </w:tc>
      </w:tr>
      <w:tr w:rsidR="00C04649" w:rsidTr="003D734E">
        <w:trPr>
          <w:trHeight w:val="341"/>
        </w:trPr>
        <w:tc>
          <w:tcPr>
            <w:tcW w:w="164" w:type="pct"/>
            <w:vAlign w:val="center"/>
            <w:hideMark/>
          </w:tcPr>
          <w:p w:rsidR="00C04649" w:rsidRDefault="00C04649" w:rsidP="003D734E">
            <w:pPr>
              <w:jc w:val="both"/>
            </w:pPr>
            <w:r>
              <w:t> </w:t>
            </w:r>
          </w:p>
        </w:tc>
        <w:tc>
          <w:tcPr>
            <w:tcW w:w="2158" w:type="pct"/>
            <w:hideMark/>
          </w:tcPr>
          <w:p w:rsidR="00C04649" w:rsidRDefault="00C04649" w:rsidP="003D734E">
            <w:pPr>
              <w:pStyle w:val="tx"/>
              <w:spacing w:before="0" w:beforeAutospacing="0" w:after="80" w:afterAutospacing="0"/>
              <w:jc w:val="both"/>
            </w:pPr>
            <w:r>
              <w:t>(</w:t>
            </w:r>
            <w:r>
              <w:rPr>
                <w:i/>
                <w:iCs/>
              </w:rPr>
              <w:t>b</w:t>
            </w:r>
            <w:r>
              <w:t>) on the balance of the book-profit</w:t>
            </w:r>
          </w:p>
        </w:tc>
        <w:tc>
          <w:tcPr>
            <w:tcW w:w="2678" w:type="pct"/>
            <w:hideMark/>
          </w:tcPr>
          <w:p w:rsidR="00C04649" w:rsidRDefault="00C04649" w:rsidP="003D734E">
            <w:pPr>
              <w:pStyle w:val="tx"/>
              <w:spacing w:before="0" w:beforeAutospacing="0" w:after="80" w:afterAutospacing="0"/>
              <w:jc w:val="both"/>
            </w:pPr>
            <w:r>
              <w:t>at the rate of 60 per cent :</w:t>
            </w:r>
          </w:p>
        </w:tc>
      </w:tr>
    </w:tbl>
    <w:p w:rsidR="00C04649" w:rsidRDefault="00C04649" w:rsidP="00C04649">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color w:val="444444"/>
        </w:rPr>
        <w:t>that in relation to any payment under this clause to the partner during the previous year relevant to the assessment year commencing on the 1st day of April, 1993, the terms of the partnership deed may, at any time during the said previous year, provide for such payment.</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1.</w:t>
      </w:r>
      <w:r>
        <w:rPr>
          <w:color w:val="444444"/>
        </w:rPr>
        <w:t>—Where an individual is a partner in a firm on behalf, or for the benefit, of any other person (such partner and the other person being hereinafter referred to as "partner in a representative capacity" and "person so represented", respectively),—</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interest paid by the firm to such individual otherwise than as partner in a representative capacity, shall not be taken into account for the purposes of this clause;</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ii</w:t>
      </w:r>
      <w:r>
        <w:rPr>
          <w:color w:val="444444"/>
        </w:rPr>
        <w:t>)  interest paid by the firm to such individual as partner in a representative capacity and interest paid by the firm to the person so represented shall be taken into account for the purposes of this clause.</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2.</w:t>
      </w:r>
      <w:r>
        <w:rPr>
          <w:color w:val="444444"/>
        </w:rPr>
        <w:t>—Where an individual is a partner in a firm otherwise than as partner in a representative capacity, interest paid by the firm to such individual shall not be taken into account for the purposes of this clause, if such interest is received by him on behalf, or for the benefit, of any other person.</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3.</w:t>
      </w:r>
      <w:r>
        <w:rPr>
          <w:color w:val="444444"/>
        </w:rPr>
        <w:t>—For the purposes of this clause, "book-profit" means the net profit, as shown in the profit and loss account for the relevant previous year, computed in the manner laid down in Chapter IV-D as increased by the aggregate amount of the remuneration paid or payable to all the partners of the firm if such amount has been deducted while computing the net profit.</w:t>
      </w:r>
    </w:p>
    <w:p w:rsidR="00C04649" w:rsidRDefault="00C04649" w:rsidP="00C04649">
      <w:pPr>
        <w:pStyle w:val="indent1"/>
        <w:numPr>
          <w:ilvl w:val="0"/>
          <w:numId w:val="14"/>
        </w:numPr>
        <w:shd w:val="clear" w:color="auto" w:fill="FFFFFF"/>
        <w:spacing w:before="0" w:beforeAutospacing="0" w:after="80" w:afterAutospacing="0"/>
        <w:jc w:val="both"/>
        <w:rPr>
          <w:color w:val="444444"/>
        </w:rPr>
      </w:pPr>
      <w:r>
        <w:rPr>
          <w:i/>
          <w:iCs/>
          <w:color w:val="444444"/>
        </w:rPr>
        <w:t>Explanation 4.</w:t>
      </w:r>
      <w:r>
        <w:rPr>
          <w:color w:val="444444"/>
        </w:rPr>
        <w:t>—For the purposes of this clause, "working partner" means an individual who is actively engaged in conducting the affairs of the business or profession of the firm of which he is a partner;</w:t>
      </w:r>
    </w:p>
    <w:p w:rsidR="00C04649" w:rsidRDefault="00C04649" w:rsidP="00C04649">
      <w:pPr>
        <w:pStyle w:val="tx"/>
        <w:numPr>
          <w:ilvl w:val="0"/>
          <w:numId w:val="14"/>
        </w:numPr>
        <w:shd w:val="clear" w:color="auto" w:fill="FFFFFF"/>
        <w:spacing w:before="0" w:beforeAutospacing="0" w:after="80" w:afterAutospacing="0"/>
        <w:jc w:val="both"/>
        <w:rPr>
          <w:color w:val="444444"/>
        </w:rPr>
      </w:pPr>
      <w:r>
        <w:rPr>
          <w:rFonts w:ascii="Helvetica" w:hAnsi="Helvetica" w:cs="Helvetica"/>
          <w:color w:val="333333"/>
          <w:sz w:val="23"/>
          <w:szCs w:val="23"/>
          <w:shd w:val="clear" w:color="auto" w:fill="FFFFFF"/>
        </w:rPr>
        <w:t xml:space="preserve">Under Section </w:t>
      </w:r>
      <w:r>
        <w:rPr>
          <w:b/>
          <w:bCs/>
          <w:color w:val="444444"/>
        </w:rPr>
        <w:t>185.</w:t>
      </w:r>
      <w:r>
        <w:rPr>
          <w:rStyle w:val="apple-converted-space"/>
          <w:b/>
          <w:bCs/>
          <w:color w:val="444444"/>
        </w:rPr>
        <w:t> </w:t>
      </w:r>
      <w:r>
        <w:rPr>
          <w:color w:val="444444"/>
        </w:rPr>
        <w:t>Notwithstanding anything contained in any other provision of this Act, where a firm does not comply with the provisions of</w:t>
      </w:r>
      <w:r>
        <w:rPr>
          <w:rStyle w:val="apple-converted-space"/>
          <w:color w:val="444444"/>
        </w:rPr>
        <w:t> </w:t>
      </w:r>
      <w:hyperlink r:id="rId11" w:history="1">
        <w:r>
          <w:rPr>
            <w:rStyle w:val="Hyperlink"/>
            <w:color w:val="663399"/>
          </w:rPr>
          <w:t>section 184</w:t>
        </w:r>
      </w:hyperlink>
      <w:r>
        <w:rPr>
          <w:rStyle w:val="apple-converted-space"/>
          <w:color w:val="444444"/>
        </w:rPr>
        <w:t> </w:t>
      </w:r>
      <w:r>
        <w:rPr>
          <w:color w:val="444444"/>
        </w:rPr>
        <w:t xml:space="preserve">for any assessment year, the firm shall be so assessed that </w:t>
      </w:r>
      <w:r w:rsidRPr="002100B7">
        <w:rPr>
          <w:color w:val="444444"/>
          <w:u w:val="single"/>
        </w:rPr>
        <w:t xml:space="preserve">no deduction by way of any payment of interest, salary, bonus, commission or remuneration, by whatever name called, made </w:t>
      </w:r>
      <w:r w:rsidRPr="002100B7">
        <w:rPr>
          <w:color w:val="444444"/>
          <w:u w:val="single"/>
        </w:rPr>
        <w:lastRenderedPageBreak/>
        <w:t>by such firm to any partner of such firm shall be allowed in computing the income chargeable under the head "Profits and gains of business or profession"</w:t>
      </w:r>
      <w:r>
        <w:rPr>
          <w:color w:val="444444"/>
        </w:rPr>
        <w:t xml:space="preserve"> and such interest, salary, bonus, commission or remuneration shall not be chargeable to income-tax under clause (</w:t>
      </w:r>
      <w:r>
        <w:rPr>
          <w:i/>
          <w:iCs/>
          <w:color w:val="444444"/>
        </w:rPr>
        <w:t>v</w:t>
      </w:r>
      <w:r>
        <w:rPr>
          <w:color w:val="444444"/>
        </w:rPr>
        <w:t xml:space="preserve">) of </w:t>
      </w:r>
      <w:hyperlink r:id="rId12" w:history="1">
        <w:r>
          <w:rPr>
            <w:rStyle w:val="Hyperlink"/>
            <w:color w:val="663399"/>
          </w:rPr>
          <w:t>section 28</w:t>
        </w:r>
      </w:hyperlink>
      <w:r>
        <w:rPr>
          <w:color w:val="444444"/>
        </w:rPr>
        <w:t>.</w:t>
      </w:r>
    </w:p>
    <w:p w:rsidR="00C04649" w:rsidRPr="006C6A21" w:rsidRDefault="00C04649" w:rsidP="00C04649">
      <w:pPr>
        <w:pStyle w:val="tx"/>
        <w:shd w:val="clear" w:color="auto" w:fill="FFFFFF"/>
        <w:spacing w:before="0" w:beforeAutospacing="0" w:after="80" w:afterAutospacing="0"/>
        <w:jc w:val="both"/>
        <w:rPr>
          <w:b/>
          <w:bCs/>
          <w:color w:val="444444"/>
        </w:rPr>
      </w:pPr>
      <w:r>
        <w:rPr>
          <w:b/>
          <w:bCs/>
          <w:color w:val="444444"/>
        </w:rPr>
        <w:t>Summary</w:t>
      </w:r>
      <w:r w:rsidRPr="006C6A21">
        <w:rPr>
          <w:b/>
          <w:bCs/>
          <w:color w:val="444444"/>
        </w:rPr>
        <w:t>:</w:t>
      </w:r>
    </w:p>
    <w:p w:rsidR="00C04649" w:rsidRDefault="00C04649" w:rsidP="00C04649">
      <w:pPr>
        <w:pStyle w:val="indent1"/>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Thus the answer is that the payment received by the Partner from the firm will be charged as Profits &amp; Gains of Business or Profession in his hands if the following conditions are satisfied:</w:t>
      </w:r>
    </w:p>
    <w:p w:rsidR="00C04649" w:rsidRDefault="00C04649" w:rsidP="00C04649">
      <w:pPr>
        <w:pStyle w:val="indent1"/>
        <w:numPr>
          <w:ilvl w:val="0"/>
          <w:numId w:val="15"/>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The firm in which he is a Partner is assesses as such under Section 184</w:t>
      </w:r>
    </w:p>
    <w:p w:rsidR="00C04649" w:rsidRDefault="00C04649" w:rsidP="00C04649">
      <w:pPr>
        <w:pStyle w:val="indent1"/>
        <w:numPr>
          <w:ilvl w:val="0"/>
          <w:numId w:val="15"/>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There is no section 144 assessment in respect of the firm</w:t>
      </w:r>
    </w:p>
    <w:p w:rsidR="00C04649" w:rsidRDefault="00C04649" w:rsidP="00C04649">
      <w:pPr>
        <w:pStyle w:val="indent1"/>
        <w:numPr>
          <w:ilvl w:val="0"/>
          <w:numId w:val="15"/>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The partner is a working Partner and the payment is as guided by the terms of the Partnership deed</w:t>
      </w:r>
    </w:p>
    <w:p w:rsidR="00C04649" w:rsidRDefault="00C04649" w:rsidP="00C04649">
      <w:pPr>
        <w:pStyle w:val="indent1"/>
        <w:numPr>
          <w:ilvl w:val="0"/>
          <w:numId w:val="15"/>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If it is interest, then it is not more than 12 % on his capital</w:t>
      </w:r>
    </w:p>
    <w:p w:rsidR="00C04649" w:rsidRDefault="00C04649" w:rsidP="00C04649">
      <w:pPr>
        <w:pStyle w:val="indent1"/>
        <w:numPr>
          <w:ilvl w:val="0"/>
          <w:numId w:val="15"/>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The computation of the remuneration does not exceed the amount computed under sub clause (v) of clause (b) of section 40.</w:t>
      </w:r>
    </w:p>
    <w:p w:rsidR="00C04649" w:rsidRDefault="00C04649" w:rsidP="00C04649">
      <w:pPr>
        <w:pStyle w:val="indent1"/>
        <w:numPr>
          <w:ilvl w:val="0"/>
          <w:numId w:val="15"/>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This is true even if the firm’s assessment is done on a presumptive basis under section 44ADA</w:t>
      </w:r>
    </w:p>
    <w:p w:rsidR="00C04649" w:rsidRDefault="00C04649" w:rsidP="00C04649">
      <w:pPr>
        <w:pStyle w:val="indent1"/>
        <w:shd w:val="clear" w:color="auto" w:fill="FFFFFF"/>
        <w:spacing w:before="0" w:beforeAutospacing="0" w:after="80" w:afterAutospacing="0"/>
        <w:jc w:val="both"/>
        <w:rPr>
          <w:rFonts w:ascii="Helvetica" w:hAnsi="Helvetica" w:cs="Helvetica"/>
          <w:color w:val="333333"/>
          <w:sz w:val="23"/>
          <w:szCs w:val="23"/>
          <w:shd w:val="clear" w:color="auto" w:fill="FFFFFF"/>
        </w:rPr>
      </w:pPr>
    </w:p>
    <w:p w:rsidR="00C04649" w:rsidRDefault="00C04649" w:rsidP="00C04649">
      <w:pPr>
        <w:pStyle w:val="indent1"/>
        <w:shd w:val="clear" w:color="auto" w:fill="FFFFFF"/>
        <w:spacing w:before="0" w:beforeAutospacing="0" w:after="80" w:afterAutospacing="0"/>
        <w:jc w:val="both"/>
        <w:rPr>
          <w:color w:val="444444"/>
        </w:rPr>
      </w:pPr>
      <w:r>
        <w:rPr>
          <w:rFonts w:ascii="Helvetica" w:hAnsi="Helvetica" w:cs="Helvetica"/>
          <w:color w:val="333333"/>
          <w:sz w:val="23"/>
          <w:szCs w:val="23"/>
          <w:shd w:val="clear" w:color="auto" w:fill="FFFFFF"/>
        </w:rPr>
        <w:t xml:space="preserve">If the above conditions are fulfilled, then the payment made to a partner as </w:t>
      </w:r>
      <w:r>
        <w:rPr>
          <w:color w:val="444444"/>
        </w:rPr>
        <w:t>any interest, salary, bonus, commission or remuneration, by whatever name called, due to, or received by, a partner of a firm from such firm shall be deductible from the computation of total income of the firm.</w:t>
      </w:r>
    </w:p>
    <w:p w:rsidR="00C04649" w:rsidRDefault="00C04649" w:rsidP="00C04649">
      <w:pPr>
        <w:pStyle w:val="indent1"/>
        <w:pBdr>
          <w:bottom w:val="single" w:sz="6" w:space="1" w:color="auto"/>
        </w:pBdr>
        <w:shd w:val="clear" w:color="auto" w:fill="FFFFFF"/>
        <w:spacing w:before="0" w:beforeAutospacing="0" w:after="80" w:afterAutospacing="0"/>
        <w:jc w:val="both"/>
        <w:rPr>
          <w:color w:val="444444"/>
        </w:rPr>
      </w:pPr>
    </w:p>
    <w:p w:rsidR="00C04649" w:rsidRDefault="00C04649" w:rsidP="00C04649">
      <w:pPr>
        <w:pStyle w:val="indent1"/>
        <w:shd w:val="clear" w:color="auto" w:fill="FFFFFF"/>
        <w:spacing w:before="0" w:beforeAutospacing="0" w:after="80" w:afterAutospacing="0"/>
        <w:jc w:val="both"/>
        <w:rPr>
          <w:rFonts w:ascii="Helvetica" w:hAnsi="Helvetica" w:cs="Helvetica"/>
          <w:color w:val="333333"/>
          <w:sz w:val="23"/>
          <w:szCs w:val="23"/>
          <w:shd w:val="clear" w:color="auto" w:fill="FFFFFF"/>
        </w:rPr>
      </w:pPr>
    </w:p>
    <w:p w:rsidR="00C04649" w:rsidRDefault="00C04649" w:rsidP="00C04649">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C04649" w:rsidRDefault="00C04649" w:rsidP="00C04649">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- 184, Income-tax Act, 1961-2016</w:t>
      </w:r>
    </w:p>
    <w:p w:rsidR="00C04649" w:rsidRDefault="00C04649" w:rsidP="00C04649">
      <w:pPr>
        <w:pStyle w:val="tx"/>
        <w:shd w:val="clear" w:color="auto" w:fill="FFFFFF"/>
        <w:spacing w:before="0" w:beforeAutospacing="0" w:after="80" w:afterAutospacing="0"/>
        <w:jc w:val="both"/>
        <w:rPr>
          <w:color w:val="444444"/>
        </w:rPr>
      </w:pPr>
      <w:r>
        <w:rPr>
          <w:b/>
          <w:bCs/>
          <w:color w:val="444444"/>
        </w:rPr>
        <w:t>Assessment as a firm.</w:t>
      </w:r>
    </w:p>
    <w:p w:rsidR="00C04649" w:rsidRDefault="00C04649" w:rsidP="00C04649">
      <w:pPr>
        <w:pStyle w:val="tx"/>
        <w:shd w:val="clear" w:color="auto" w:fill="FFFFFF"/>
        <w:spacing w:before="0" w:beforeAutospacing="0" w:after="80" w:afterAutospacing="0"/>
        <w:jc w:val="both"/>
        <w:rPr>
          <w:color w:val="444444"/>
        </w:rPr>
      </w:pPr>
      <w:r>
        <w:rPr>
          <w:b/>
          <w:bCs/>
          <w:color w:val="444444"/>
        </w:rPr>
        <w:t>184.</w:t>
      </w:r>
      <w:r>
        <w:rPr>
          <w:rStyle w:val="apple-converted-space"/>
          <w:b/>
          <w:bCs/>
          <w:color w:val="444444"/>
        </w:rPr>
        <w:t> </w:t>
      </w:r>
      <w:r>
        <w:rPr>
          <w:color w:val="444444"/>
        </w:rPr>
        <w:t>(1) A firm shall be assessed as a firm for the purposes of this Act, if—</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  (</w:t>
      </w:r>
      <w:r>
        <w:rPr>
          <w:i/>
          <w:iCs/>
          <w:color w:val="444444"/>
        </w:rPr>
        <w:t>i</w:t>
      </w:r>
      <w:r>
        <w:rPr>
          <w:color w:val="444444"/>
        </w:rPr>
        <w:t>) the partnership is evidenced by an instrument; and</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 (</w:t>
      </w:r>
      <w:r>
        <w:rPr>
          <w:i/>
          <w:iCs/>
          <w:color w:val="444444"/>
        </w:rPr>
        <w:t>ii</w:t>
      </w:r>
      <w:r>
        <w:rPr>
          <w:color w:val="444444"/>
        </w:rPr>
        <w:t>) the individual shares of the partners are specified in that instrument.</w:t>
      </w:r>
    </w:p>
    <w:p w:rsidR="00C04649" w:rsidRDefault="00C04649" w:rsidP="00C04649">
      <w:pPr>
        <w:pStyle w:val="tx"/>
        <w:shd w:val="clear" w:color="auto" w:fill="FFFFFF"/>
        <w:spacing w:before="0" w:beforeAutospacing="0" w:after="80" w:afterAutospacing="0"/>
        <w:jc w:val="both"/>
        <w:rPr>
          <w:color w:val="444444"/>
        </w:rPr>
      </w:pPr>
      <w:r>
        <w:rPr>
          <w:color w:val="444444"/>
        </w:rPr>
        <w:t>(2) A certified copy of the instrument of partnership referred to in sub-section (1) shall accompany the return of income of the firm of the previous year relevant to the assessment year commencing on or after the 1st day of April, 1993 in respect of which assessment as a firm is first sought.</w:t>
      </w:r>
    </w:p>
    <w:p w:rsidR="00C04649" w:rsidRDefault="00C04649" w:rsidP="00C04649">
      <w:pPr>
        <w:pStyle w:val="tx"/>
        <w:shd w:val="clear" w:color="auto" w:fill="FFFFFF"/>
        <w:spacing w:before="0" w:beforeAutospacing="0" w:after="80" w:afterAutospacing="0"/>
        <w:jc w:val="both"/>
        <w:rPr>
          <w:color w:val="444444"/>
        </w:rPr>
      </w:pPr>
      <w:r>
        <w:rPr>
          <w:i/>
          <w:iCs/>
          <w:color w:val="444444"/>
        </w:rPr>
        <w:t>Explanation.</w:t>
      </w:r>
      <w:r>
        <w:rPr>
          <w:color w:val="444444"/>
        </w:rPr>
        <w:t xml:space="preserve">—For the purposes of this sub-section, the copy of the instrument of partnership shall be certified in writing by all the partners (not being minors) or, where the return is made after the dissolution of the firm, by all persons (not being minors) who were partners in the </w:t>
      </w:r>
      <w:r>
        <w:rPr>
          <w:color w:val="444444"/>
        </w:rPr>
        <w:lastRenderedPageBreak/>
        <w:t>firm immediately before its dissolution and by the legal representative of any such partner who is deceased.</w:t>
      </w:r>
    </w:p>
    <w:p w:rsidR="00C04649" w:rsidRDefault="00C04649" w:rsidP="00C04649">
      <w:pPr>
        <w:pStyle w:val="tx"/>
        <w:shd w:val="clear" w:color="auto" w:fill="FFFFFF"/>
        <w:spacing w:before="0" w:beforeAutospacing="0" w:after="80" w:afterAutospacing="0"/>
        <w:jc w:val="both"/>
        <w:rPr>
          <w:color w:val="444444"/>
        </w:rPr>
      </w:pPr>
      <w:r>
        <w:rPr>
          <w:color w:val="444444"/>
        </w:rPr>
        <w:t>(3) Where a firm is assessed as such for any assessment year, it shall be assessed in the same capacity for every subsequent year if there is no change in the constitution of the firm or the shares of the partners as evidenced by the instrument of partnership on the basis of which the assessment as a firm was first sought.</w:t>
      </w:r>
    </w:p>
    <w:p w:rsidR="00C04649" w:rsidRDefault="00C04649" w:rsidP="00C04649">
      <w:pPr>
        <w:pStyle w:val="tx"/>
        <w:shd w:val="clear" w:color="auto" w:fill="FFFFFF"/>
        <w:spacing w:before="0" w:beforeAutospacing="0" w:after="80" w:afterAutospacing="0"/>
        <w:jc w:val="both"/>
        <w:rPr>
          <w:color w:val="444444"/>
        </w:rPr>
      </w:pPr>
      <w:r>
        <w:rPr>
          <w:color w:val="444444"/>
        </w:rPr>
        <w:t>(4) Where any such change had taken place in the previous year, the firm shall furnish a certified copy of the revised instrument of partnership along with the return of income</w:t>
      </w:r>
      <w:hyperlink r:id="rId13" w:history="1">
        <w:r>
          <w:rPr>
            <w:rStyle w:val="Hyperlink"/>
            <w:color w:val="663399"/>
            <w:vertAlign w:val="superscript"/>
          </w:rPr>
          <w:t>80</w:t>
        </w:r>
      </w:hyperlink>
      <w:r>
        <w:rPr>
          <w:rStyle w:val="apple-converted-space"/>
          <w:color w:val="444444"/>
        </w:rPr>
        <w:t> </w:t>
      </w:r>
      <w:r>
        <w:rPr>
          <w:color w:val="444444"/>
        </w:rPr>
        <w:t>for the assessment year relevant to such previous year and all the provisions of this section shall apply accordingly.</w:t>
      </w:r>
    </w:p>
    <w:p w:rsidR="00C04649" w:rsidRDefault="00C04649" w:rsidP="00C04649">
      <w:pPr>
        <w:pStyle w:val="tx"/>
        <w:shd w:val="clear" w:color="auto" w:fill="FFFFFF"/>
        <w:spacing w:before="0" w:beforeAutospacing="0" w:after="80" w:afterAutospacing="0"/>
        <w:jc w:val="both"/>
        <w:rPr>
          <w:color w:val="444444"/>
        </w:rPr>
      </w:pPr>
      <w:r>
        <w:rPr>
          <w:color w:val="444444"/>
        </w:rPr>
        <w:t>(5) Notwithstanding anything contained in any other provision of this Act, where, in respect of any assessment year, there is on the part of a firm any such failure as is mentioned in</w:t>
      </w:r>
      <w:r>
        <w:rPr>
          <w:rStyle w:val="apple-converted-space"/>
          <w:color w:val="444444"/>
        </w:rPr>
        <w:t> </w:t>
      </w:r>
      <w:hyperlink r:id="rId14" w:history="1">
        <w:r>
          <w:rPr>
            <w:rStyle w:val="Hyperlink"/>
            <w:color w:val="663399"/>
          </w:rPr>
          <w:t>section 144</w:t>
        </w:r>
      </w:hyperlink>
      <w:r>
        <w:rPr>
          <w:color w:val="444444"/>
        </w:rPr>
        <w:t>, the firm shall be so assessed that no deduction by way of any payment of interest, salary, bonus, commission or remuneration, by whatever name called, made by such firm to any partner of such firm shall be allowed in computing the income chargeable under the head "Profits and gains of business or profession" and such interest, salary, bonus, commission or remuneration shall not be chargeable to income-tax under clause (</w:t>
      </w:r>
      <w:r>
        <w:rPr>
          <w:i/>
          <w:iCs/>
          <w:color w:val="444444"/>
        </w:rPr>
        <w:t>v</w:t>
      </w:r>
      <w:r>
        <w:rPr>
          <w:color w:val="444444"/>
        </w:rPr>
        <w:t>) of</w:t>
      </w:r>
      <w:r>
        <w:rPr>
          <w:rStyle w:val="apple-converted-space"/>
          <w:color w:val="444444"/>
        </w:rPr>
        <w:t> </w:t>
      </w:r>
      <w:hyperlink r:id="rId15" w:history="1">
        <w:r>
          <w:rPr>
            <w:rStyle w:val="Hyperlink"/>
            <w:color w:val="663399"/>
          </w:rPr>
          <w:t>section 28</w:t>
        </w:r>
      </w:hyperlink>
      <w:r>
        <w:rPr>
          <w:color w:val="444444"/>
        </w:rPr>
        <w:t>.</w:t>
      </w:r>
    </w:p>
    <w:p w:rsidR="00C04649" w:rsidRDefault="00C04649" w:rsidP="00C04649">
      <w:pPr>
        <w:pStyle w:val="indent1a"/>
        <w:shd w:val="clear" w:color="auto" w:fill="FFFFFF"/>
        <w:spacing w:before="0" w:beforeAutospacing="0" w:after="80" w:afterAutospacing="0"/>
        <w:rPr>
          <w:rFonts w:ascii="Segoe UI" w:hAnsi="Segoe UI" w:cs="Segoe UI"/>
          <w:sz w:val="20"/>
          <w:szCs w:val="20"/>
          <w:shd w:val="clear" w:color="auto" w:fill="FFFFFF"/>
        </w:rPr>
      </w:pPr>
    </w:p>
    <w:p w:rsidR="00C04649" w:rsidRDefault="00C04649" w:rsidP="00C04649">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- 185, Income-tax Act, 1961-2016</w:t>
      </w:r>
    </w:p>
    <w:p w:rsidR="00C04649" w:rsidRDefault="00C04649" w:rsidP="00C04649">
      <w:pPr>
        <w:pStyle w:val="tx"/>
        <w:shd w:val="clear" w:color="auto" w:fill="FFFFFF"/>
        <w:spacing w:before="0" w:beforeAutospacing="0" w:after="80" w:afterAutospacing="0"/>
        <w:jc w:val="both"/>
        <w:rPr>
          <w:color w:val="444444"/>
        </w:rPr>
      </w:pPr>
      <w:r>
        <w:rPr>
          <w:b/>
          <w:bCs/>
          <w:color w:val="444444"/>
        </w:rPr>
        <w:t>Assessment when</w:t>
      </w:r>
      <w:r>
        <w:rPr>
          <w:rStyle w:val="apple-converted-space"/>
          <w:b/>
          <w:bCs/>
          <w:color w:val="444444"/>
        </w:rPr>
        <w:t> </w:t>
      </w:r>
      <w:hyperlink r:id="rId16" w:history="1">
        <w:r>
          <w:rPr>
            <w:rStyle w:val="Hyperlink"/>
            <w:b/>
            <w:bCs/>
            <w:color w:val="663399"/>
          </w:rPr>
          <w:t>section 184</w:t>
        </w:r>
      </w:hyperlink>
      <w:r>
        <w:rPr>
          <w:rStyle w:val="apple-converted-space"/>
          <w:b/>
          <w:bCs/>
          <w:color w:val="444444"/>
        </w:rPr>
        <w:t> </w:t>
      </w:r>
      <w:r>
        <w:rPr>
          <w:b/>
          <w:bCs/>
          <w:color w:val="444444"/>
        </w:rPr>
        <w:t>not complied with.</w:t>
      </w:r>
    </w:p>
    <w:p w:rsidR="00C04649" w:rsidRDefault="00C04649" w:rsidP="00C04649">
      <w:pPr>
        <w:pStyle w:val="tx"/>
        <w:shd w:val="clear" w:color="auto" w:fill="FFFFFF"/>
        <w:spacing w:before="0" w:beforeAutospacing="0" w:after="80" w:afterAutospacing="0"/>
        <w:jc w:val="both"/>
        <w:rPr>
          <w:color w:val="444444"/>
        </w:rPr>
      </w:pPr>
      <w:r>
        <w:rPr>
          <w:b/>
          <w:bCs/>
          <w:color w:val="444444"/>
        </w:rPr>
        <w:t>185.</w:t>
      </w:r>
      <w:r>
        <w:rPr>
          <w:rStyle w:val="apple-converted-space"/>
          <w:b/>
          <w:bCs/>
          <w:color w:val="444444"/>
        </w:rPr>
        <w:t> </w:t>
      </w:r>
      <w:r>
        <w:rPr>
          <w:color w:val="444444"/>
        </w:rPr>
        <w:t>Notwithstanding anything contained in any other provision of this Act, where a firm does not comply with the provisions of</w:t>
      </w:r>
      <w:r>
        <w:rPr>
          <w:rStyle w:val="apple-converted-space"/>
          <w:color w:val="444444"/>
        </w:rPr>
        <w:t> </w:t>
      </w:r>
      <w:hyperlink r:id="rId17" w:history="1">
        <w:r>
          <w:rPr>
            <w:rStyle w:val="Hyperlink"/>
            <w:color w:val="663399"/>
          </w:rPr>
          <w:t>section 184</w:t>
        </w:r>
      </w:hyperlink>
      <w:r>
        <w:rPr>
          <w:rStyle w:val="apple-converted-space"/>
          <w:color w:val="444444"/>
        </w:rPr>
        <w:t> </w:t>
      </w:r>
      <w:r>
        <w:rPr>
          <w:color w:val="444444"/>
        </w:rPr>
        <w:t>for any assessment year, the firm shall be so assessed that no deduction by way of any payment of interest, salary, bonus, commission or remuneration, by whatever name called, made by such firm to any partner of such firm shall be allowed in computing the income chargeable under the head "Profits and gains of business or profession" and such interest, salary, bonus, commission or remuneration shall not be chargeable to income-tax under clause (</w:t>
      </w:r>
      <w:r>
        <w:rPr>
          <w:i/>
          <w:iCs/>
          <w:color w:val="444444"/>
        </w:rPr>
        <w:t>v</w:t>
      </w:r>
      <w:r>
        <w:rPr>
          <w:color w:val="444444"/>
        </w:rPr>
        <w:t xml:space="preserve">) of </w:t>
      </w:r>
      <w:hyperlink r:id="rId18" w:history="1">
        <w:r>
          <w:rPr>
            <w:rStyle w:val="Hyperlink"/>
            <w:color w:val="663399"/>
          </w:rPr>
          <w:t>section 28</w:t>
        </w:r>
      </w:hyperlink>
      <w:r>
        <w:rPr>
          <w:color w:val="444444"/>
        </w:rPr>
        <w:t>.</w:t>
      </w:r>
    </w:p>
    <w:p w:rsidR="00C04649" w:rsidRDefault="00C04649" w:rsidP="00C04649">
      <w:pPr>
        <w:pStyle w:val="tx"/>
        <w:shd w:val="clear" w:color="auto" w:fill="FFFFFF"/>
        <w:spacing w:before="0" w:beforeAutospacing="0" w:after="80" w:afterAutospacing="0"/>
        <w:jc w:val="both"/>
        <w:rPr>
          <w:color w:val="444444"/>
        </w:rPr>
      </w:pPr>
    </w:p>
    <w:p w:rsidR="00C04649" w:rsidRDefault="00C04649" w:rsidP="00C04649">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- 28, Income-tax Act, 1961-2016</w:t>
      </w:r>
    </w:p>
    <w:p w:rsidR="00C04649" w:rsidRDefault="00C04649" w:rsidP="00C04649">
      <w:pPr>
        <w:pStyle w:val="tx"/>
        <w:shd w:val="clear" w:color="auto" w:fill="FFFFFF"/>
        <w:spacing w:before="0" w:beforeAutospacing="0" w:after="80" w:afterAutospacing="0"/>
        <w:jc w:val="center"/>
        <w:rPr>
          <w:color w:val="444444"/>
        </w:rPr>
      </w:pPr>
      <w:r>
        <w:rPr>
          <w:i/>
          <w:iCs/>
          <w:color w:val="444444"/>
        </w:rPr>
        <w:t>D.—Profits and gains of business or profession</w:t>
      </w:r>
    </w:p>
    <w:p w:rsidR="00C04649" w:rsidRDefault="00C04649" w:rsidP="00C04649">
      <w:pPr>
        <w:pStyle w:val="tx"/>
        <w:shd w:val="clear" w:color="auto" w:fill="FFFFFF"/>
        <w:spacing w:before="0" w:beforeAutospacing="0" w:after="80" w:afterAutospacing="0"/>
        <w:jc w:val="both"/>
        <w:rPr>
          <w:color w:val="444444"/>
        </w:rPr>
      </w:pPr>
      <w:r>
        <w:rPr>
          <w:b/>
          <w:bCs/>
          <w:color w:val="444444"/>
        </w:rPr>
        <w:t>Profits and gains of business or profession.</w:t>
      </w:r>
    </w:p>
    <w:p w:rsidR="00C04649" w:rsidRDefault="00C04649" w:rsidP="00C04649">
      <w:pPr>
        <w:pStyle w:val="tx"/>
        <w:shd w:val="clear" w:color="auto" w:fill="FFFFFF"/>
        <w:spacing w:before="0" w:beforeAutospacing="0" w:after="80" w:afterAutospacing="0"/>
        <w:jc w:val="both"/>
        <w:rPr>
          <w:color w:val="444444"/>
        </w:rPr>
      </w:pPr>
      <w:r>
        <w:rPr>
          <w:b/>
          <w:bCs/>
          <w:color w:val="444444"/>
        </w:rPr>
        <w:t>28.</w:t>
      </w:r>
      <w:r>
        <w:rPr>
          <w:rStyle w:val="apple-converted-space"/>
          <w:b/>
          <w:bCs/>
          <w:color w:val="444444"/>
        </w:rPr>
        <w:t> </w:t>
      </w:r>
      <w:r>
        <w:rPr>
          <w:color w:val="444444"/>
        </w:rPr>
        <w:t>The following income shall be chargeable to income-tax under the head "Profits and gains of business or profession",—</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w:t>
      </w:r>
      <w:r>
        <w:rPr>
          <w:color w:val="444444"/>
        </w:rPr>
        <w:t>) the profits and gains of any business or profession which was carried on by the assessee at any time during the previous year;</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ii</w:t>
      </w:r>
      <w:r>
        <w:rPr>
          <w:color w:val="444444"/>
        </w:rPr>
        <w:t>) any compensation or other payment due to or received by,—</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a</w:t>
      </w:r>
      <w:r>
        <w:rPr>
          <w:color w:val="444444"/>
        </w:rPr>
        <w:t>) any person, by whatever name called, managing the whole or substantially the whole of the affairs of an Indian company, at or in connection with the termination of his management or the modification of the terms and conditions relating thereto;</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lastRenderedPageBreak/>
        <w:t>(</w:t>
      </w:r>
      <w:r>
        <w:rPr>
          <w:i/>
          <w:iCs/>
          <w:color w:val="444444"/>
        </w:rPr>
        <w:t>b</w:t>
      </w:r>
      <w:r>
        <w:rPr>
          <w:color w:val="444444"/>
        </w:rPr>
        <w:t>) any person, by whatever name called, managing the whole or substantially the whole of the affairs in India of any other company, at or in connection with the termination of his office or the modification of the terms and conditions relating thereto ;</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c</w:t>
      </w:r>
      <w:r>
        <w:rPr>
          <w:color w:val="444444"/>
        </w:rPr>
        <w:t>) any person, by whatever name called, holding an agency in India for any part of the activities relating to the business of any other person, at or in connection with the termination of the agency or the modification of the terms and conditions relating thereto ;</w:t>
      </w:r>
    </w:p>
    <w:p w:rsidR="00C04649" w:rsidRDefault="00C04649" w:rsidP="00C04649">
      <w:pPr>
        <w:pStyle w:val="indent2"/>
        <w:shd w:val="clear" w:color="auto" w:fill="FFFFFF"/>
        <w:spacing w:before="0" w:beforeAutospacing="0" w:after="80" w:afterAutospacing="0"/>
        <w:ind w:left="1247" w:hanging="454"/>
        <w:jc w:val="both"/>
        <w:rPr>
          <w:color w:val="444444"/>
        </w:rPr>
      </w:pPr>
      <w:r>
        <w:rPr>
          <w:i/>
          <w:iCs/>
          <w:color w:val="444444"/>
        </w:rPr>
        <w:t>(d</w:t>
      </w:r>
      <w:r>
        <w:rPr>
          <w:color w:val="444444"/>
        </w:rPr>
        <w:t>) any person, for or in connection with the vesting in the Government, or in any corporation owned or controlled by the Government, under any law for the time being in force, of the management of any property or business ;</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iii</w:t>
      </w:r>
      <w:r>
        <w:rPr>
          <w:color w:val="444444"/>
        </w:rPr>
        <w:t>) income derived by a trade, professional or similar association from specific services performed for its members ;</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iiia</w:t>
      </w:r>
      <w:r>
        <w:rPr>
          <w:color w:val="444444"/>
        </w:rPr>
        <w:t>) profits on sale of a licence granted under the Imports (Control) Order, 1955, made under the Imports and Exports (Control) Act, 1947 (18 of 1947) ;</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iiib</w:t>
      </w:r>
      <w:r>
        <w:rPr>
          <w:color w:val="444444"/>
        </w:rPr>
        <w:t>) cash assistance (by whatever name called) received or receivable by any person against exports under any scheme of the Government of India ;</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iiic</w:t>
      </w:r>
      <w:r>
        <w:rPr>
          <w:color w:val="444444"/>
        </w:rPr>
        <w:t>) any duty of customs or excise re-paid or re-payable as drawback to any person against exports under the Customs and Central Excise Duties Drawback Rules, 1971 ;</w:t>
      </w:r>
    </w:p>
    <w:p w:rsidR="00C04649" w:rsidRDefault="00C04649" w:rsidP="00C04649">
      <w:pPr>
        <w:pStyle w:val="indent1"/>
        <w:shd w:val="clear" w:color="auto" w:fill="FFFFFF"/>
        <w:spacing w:before="0" w:beforeAutospacing="0" w:after="80" w:afterAutospacing="0"/>
        <w:ind w:left="567" w:hanging="454"/>
        <w:jc w:val="both"/>
        <w:rPr>
          <w:color w:val="444444"/>
        </w:rPr>
      </w:pPr>
      <w:r>
        <w:rPr>
          <w:color w:val="444444"/>
        </w:rPr>
        <w:t>(</w:t>
      </w:r>
      <w:r>
        <w:rPr>
          <w:i/>
          <w:iCs/>
          <w:color w:val="444444"/>
        </w:rPr>
        <w:t>iiid</w:t>
      </w:r>
      <w:r>
        <w:rPr>
          <w:color w:val="444444"/>
        </w:rPr>
        <w:t>) any profit on the transfer of the Duty Entitlement Pass Book Scheme, being the Duty Remission Scheme under the export and import policy formulated and announced under section 5 of the Foreign Trade (Development and Regulation) Act, 1992 (22 of 1992);</w:t>
      </w:r>
    </w:p>
    <w:p w:rsidR="00C04649" w:rsidRDefault="00C04649" w:rsidP="00C04649">
      <w:pPr>
        <w:pStyle w:val="indent1"/>
        <w:shd w:val="clear" w:color="auto" w:fill="FFFFFF"/>
        <w:spacing w:before="0" w:beforeAutospacing="0" w:after="80" w:afterAutospacing="0"/>
        <w:ind w:left="567" w:hanging="454"/>
        <w:jc w:val="both"/>
        <w:rPr>
          <w:color w:val="444444"/>
        </w:rPr>
      </w:pPr>
      <w:r>
        <w:rPr>
          <w:color w:val="444444"/>
        </w:rPr>
        <w:t>(</w:t>
      </w:r>
      <w:r>
        <w:rPr>
          <w:i/>
          <w:iCs/>
          <w:color w:val="444444"/>
        </w:rPr>
        <w:t>iiie</w:t>
      </w:r>
      <w:r>
        <w:rPr>
          <w:color w:val="444444"/>
        </w:rPr>
        <w:t>) any profit on the transfer of the Duty Free Replenishment Certificate, being the Duty Remission Scheme under the export and import policy formulated and announced under section 5 of the Foreign Trade (Development and Regulation) Act, 1992 (22 of 1992) ;</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iv</w:t>
      </w:r>
      <w:r>
        <w:rPr>
          <w:color w:val="444444"/>
        </w:rPr>
        <w:t>) the value of any benefit or perquisite, whether convertible into money or not, arising from business or the exercise of a profession ;</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v</w:t>
      </w:r>
      <w:r>
        <w:rPr>
          <w:color w:val="444444"/>
        </w:rPr>
        <w:t>) any interest, salary, bonus, commission or remuneration, by whatever name called, due to, or received by, a partner of a firm from such firm :</w:t>
      </w:r>
    </w:p>
    <w:p w:rsidR="00C04649" w:rsidRDefault="00C04649" w:rsidP="00C04649">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color w:val="444444"/>
        </w:rPr>
        <w:t>that where any interest, salary, bonus, commission or remuneration, by whatever name called, or any part thereof has not been allowed to be deducted under clause (</w:t>
      </w:r>
      <w:r>
        <w:rPr>
          <w:i/>
          <w:iCs/>
          <w:color w:val="444444"/>
        </w:rPr>
        <w:t>b</w:t>
      </w:r>
      <w:r>
        <w:rPr>
          <w:color w:val="444444"/>
        </w:rPr>
        <w:t>) of</w:t>
      </w:r>
      <w:r>
        <w:rPr>
          <w:rStyle w:val="apple-converted-space"/>
          <w:color w:val="444444"/>
        </w:rPr>
        <w:t> </w:t>
      </w:r>
      <w:hyperlink r:id="rId19" w:history="1">
        <w:r>
          <w:rPr>
            <w:rStyle w:val="Hyperlink"/>
            <w:color w:val="663399"/>
          </w:rPr>
          <w:t>section 40</w:t>
        </w:r>
      </w:hyperlink>
      <w:r>
        <w:rPr>
          <w:color w:val="444444"/>
        </w:rPr>
        <w:t>, the income under this clause shall be adjusted to the extent of the amount not so allowed to be deducted ;</w:t>
      </w:r>
    </w:p>
    <w:p w:rsidR="00C04649" w:rsidRDefault="00C04649" w:rsidP="00C04649">
      <w:pPr>
        <w:pStyle w:val="tx"/>
        <w:shd w:val="clear" w:color="auto" w:fill="FFFFFF"/>
        <w:spacing w:before="0" w:beforeAutospacing="0" w:after="80" w:afterAutospacing="0"/>
        <w:jc w:val="both"/>
        <w:rPr>
          <w:color w:val="444444"/>
        </w:rPr>
      </w:pPr>
      <w:hyperlink r:id="rId20" w:history="1">
        <w:r>
          <w:rPr>
            <w:rStyle w:val="Hyperlink"/>
            <w:color w:val="663399"/>
            <w:vertAlign w:val="superscript"/>
          </w:rPr>
          <w:t>30</w:t>
        </w:r>
      </w:hyperlink>
      <w:r>
        <w:rPr>
          <w:color w:val="444444"/>
        </w:rPr>
        <w:t>(</w:t>
      </w:r>
      <w:r>
        <w:rPr>
          <w:i/>
          <w:iCs/>
          <w:color w:val="444444"/>
        </w:rPr>
        <w:t>va</w:t>
      </w:r>
      <w:r>
        <w:rPr>
          <w:color w:val="444444"/>
        </w:rPr>
        <w:t>) any sum, whether received or receivable, in cash or kind, under an agreement for—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a</w:t>
      </w:r>
      <w:r>
        <w:rPr>
          <w:color w:val="444444"/>
        </w:rPr>
        <w:t>) not carrying out any activity in relation to any business</w:t>
      </w:r>
      <w:r>
        <w:rPr>
          <w:rStyle w:val="apple-converted-space"/>
          <w:color w:val="444444"/>
        </w:rPr>
        <w:t> </w:t>
      </w:r>
      <w:hyperlink r:id="rId21" w:history="1">
        <w:r>
          <w:rPr>
            <w:rStyle w:val="Hyperlink"/>
            <w:color w:val="663399"/>
            <w:vertAlign w:val="superscript"/>
          </w:rPr>
          <w:t>30</w:t>
        </w:r>
      </w:hyperlink>
      <w:r>
        <w:rPr>
          <w:b/>
          <w:bCs/>
          <w:color w:val="444444"/>
        </w:rPr>
        <w:t>[</w:t>
      </w:r>
      <w:r>
        <w:rPr>
          <w:i/>
          <w:iCs/>
          <w:color w:val="444444"/>
        </w:rPr>
        <w:t>or profession</w:t>
      </w:r>
      <w:r>
        <w:rPr>
          <w:b/>
          <w:bCs/>
          <w:color w:val="444444"/>
        </w:rPr>
        <w:t>]</w:t>
      </w:r>
      <w:r>
        <w:rPr>
          <w:color w:val="444444"/>
        </w:rPr>
        <w:t>;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b</w:t>
      </w:r>
      <w:r>
        <w:rPr>
          <w:color w:val="444444"/>
        </w:rPr>
        <w:t>) not sharing any know-how, patent, copyright, trade-mark, licence, franchise or any other business or commercial right of similar nature or information or technique likely to assist in the manufacture or processing of goods or provision for services:</w:t>
      </w:r>
    </w:p>
    <w:p w:rsidR="00C04649" w:rsidRDefault="00C04649" w:rsidP="00C04649">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b/>
          <w:bCs/>
          <w:color w:val="444444"/>
        </w:rPr>
        <w:t> </w:t>
      </w:r>
      <w:r>
        <w:rPr>
          <w:color w:val="444444"/>
        </w:rPr>
        <w:t>that sub-clause (</w:t>
      </w:r>
      <w:r>
        <w:rPr>
          <w:i/>
          <w:iCs/>
          <w:color w:val="444444"/>
        </w:rPr>
        <w:t>a</w:t>
      </w:r>
      <w:r>
        <w:rPr>
          <w:color w:val="444444"/>
        </w:rPr>
        <w:t>) shall not apply to—</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lastRenderedPageBreak/>
        <w:t> (</w:t>
      </w:r>
      <w:r>
        <w:rPr>
          <w:i/>
          <w:iCs/>
          <w:color w:val="444444"/>
        </w:rPr>
        <w:t>i</w:t>
      </w:r>
      <w:r>
        <w:rPr>
          <w:color w:val="444444"/>
        </w:rPr>
        <w:t>) any sum, whether received or receivable, in cash or kind, on account of transfer of the right to manufacture, produce or process any article or thing or right to carry on any business</w:t>
      </w:r>
      <w:r>
        <w:rPr>
          <w:rStyle w:val="apple-converted-space"/>
          <w:color w:val="444444"/>
        </w:rPr>
        <w:t> </w:t>
      </w:r>
      <w:hyperlink r:id="rId22" w:history="1">
        <w:r>
          <w:rPr>
            <w:rStyle w:val="Hyperlink"/>
            <w:color w:val="663399"/>
            <w:vertAlign w:val="superscript"/>
          </w:rPr>
          <w:t>30</w:t>
        </w:r>
      </w:hyperlink>
      <w:r>
        <w:rPr>
          <w:b/>
          <w:bCs/>
          <w:color w:val="444444"/>
        </w:rPr>
        <w:t>[</w:t>
      </w:r>
      <w:r>
        <w:rPr>
          <w:i/>
          <w:iCs/>
          <w:color w:val="444444"/>
        </w:rPr>
        <w:t>or profession</w:t>
      </w:r>
      <w:r>
        <w:rPr>
          <w:b/>
          <w:bCs/>
          <w:color w:val="444444"/>
        </w:rPr>
        <w:t>]</w:t>
      </w:r>
      <w:r>
        <w:rPr>
          <w:color w:val="444444"/>
        </w:rPr>
        <w:t>, which is chargeable under the head "Capital gains";</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ii</w:t>
      </w:r>
      <w:r>
        <w:rPr>
          <w:color w:val="444444"/>
        </w:rPr>
        <w:t>) any sum received as compensation, from the multi-lateral fund of the Montreal Protocol on Substances that Deplete the Ozone layer under the United Nations Environment Programme, in accordance with the terms of agreement entered into with the Government of India.</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w:t>
      </w:r>
      <w:r>
        <w:rPr>
          <w:color w:val="444444"/>
        </w:rPr>
        <w:t>—For the purposes of this clause,—</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w:t>
      </w:r>
      <w:r>
        <w:rPr>
          <w:color w:val="444444"/>
        </w:rPr>
        <w:t>) "agreement" includes any arrangement or understanding or action in concert,—</w:t>
      </w:r>
    </w:p>
    <w:p w:rsidR="00C04649" w:rsidRDefault="00C04649" w:rsidP="00C04649">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A</w:t>
      </w:r>
      <w:r>
        <w:rPr>
          <w:color w:val="444444"/>
        </w:rPr>
        <w:t>) whether or not such arrangement, understanding or action is formal or in writing; or</w:t>
      </w:r>
    </w:p>
    <w:p w:rsidR="00C04649" w:rsidRDefault="00C04649" w:rsidP="00C04649">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B</w:t>
      </w:r>
      <w:r>
        <w:rPr>
          <w:color w:val="444444"/>
        </w:rPr>
        <w:t>) whether or not such arrangement, understanding or action is intended to be enforceable by legal proceedings;</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w:t>
      </w:r>
      <w:r>
        <w:rPr>
          <w:color w:val="444444"/>
        </w:rPr>
        <w:t>) "service" means service of any description which is made available to potential users and includes the provision of services in connection with business of any industrial or commercial nature such as accounting, banking, communication, conveying of news or information, advertising, entertainment, amusement, education, financing, insurance, chit funds, real estate, construction, transport, storage, processing, supply of electrical or other energy, boarding and lodging;</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vi</w:t>
      </w:r>
      <w:r>
        <w:rPr>
          <w:color w:val="444444"/>
        </w:rPr>
        <w:t>) any sum received under a Keyman insurance policy including the sum allocated by way of bonus on such policy.</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w:t>
      </w:r>
      <w:r>
        <w:rPr>
          <w:color w:val="444444"/>
        </w:rPr>
        <w:t>For the purposes of this clause, the expression "Keyman insurance policy" shall have the meaning assigned to it in clause (</w:t>
      </w:r>
      <w:r>
        <w:rPr>
          <w:i/>
          <w:iCs/>
          <w:color w:val="444444"/>
        </w:rPr>
        <w:t>10D</w:t>
      </w:r>
      <w:r>
        <w:rPr>
          <w:color w:val="444444"/>
        </w:rPr>
        <w:t>) of</w:t>
      </w:r>
      <w:r>
        <w:rPr>
          <w:rStyle w:val="apple-converted-space"/>
          <w:color w:val="444444"/>
        </w:rPr>
        <w:t> </w:t>
      </w:r>
      <w:hyperlink r:id="rId23" w:history="1">
        <w:r>
          <w:rPr>
            <w:rStyle w:val="Hyperlink"/>
            <w:color w:val="663399"/>
          </w:rPr>
          <w:t>section 10</w:t>
        </w:r>
      </w:hyperlink>
      <w:r>
        <w:rPr>
          <w:color w:val="444444"/>
        </w:rPr>
        <w:t>;</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vii</w:t>
      </w:r>
      <w:r>
        <w:rPr>
          <w:color w:val="444444"/>
        </w:rPr>
        <w:t>) any sum, whether received or receivable, in cash or kind, on account of any capital asset (other than land or goodwill or financial instrument) being demolished, destroyed, discarded or transferred, if the whole of the expenditure on such capital asset has been allowed as a deduction under</w:t>
      </w:r>
      <w:r>
        <w:rPr>
          <w:rStyle w:val="apple-converted-space"/>
          <w:color w:val="444444"/>
        </w:rPr>
        <w:t> </w:t>
      </w:r>
      <w:hyperlink r:id="rId24" w:history="1">
        <w:r>
          <w:rPr>
            <w:rStyle w:val="Hyperlink"/>
            <w:color w:val="663399"/>
          </w:rPr>
          <w:t>section 35AD</w:t>
        </w:r>
      </w:hyperlink>
      <w:r>
        <w:rPr>
          <w:color w:val="444444"/>
        </w:rPr>
        <w:t>.</w:t>
      </w:r>
    </w:p>
    <w:p w:rsidR="00C04649" w:rsidRDefault="00C04649" w:rsidP="00C04649">
      <w:pPr>
        <w:pStyle w:val="tx"/>
        <w:shd w:val="clear" w:color="auto" w:fill="FFFFFF"/>
        <w:spacing w:before="0" w:beforeAutospacing="0" w:after="80" w:afterAutospacing="0"/>
        <w:jc w:val="both"/>
        <w:rPr>
          <w:color w:val="444444"/>
        </w:rPr>
      </w:pPr>
      <w:r>
        <w:rPr>
          <w:i/>
          <w:iCs/>
          <w:color w:val="444444"/>
        </w:rPr>
        <w:t>Explanation 1.</w:t>
      </w:r>
      <w:r>
        <w:rPr>
          <w:color w:val="444444"/>
        </w:rPr>
        <w:t>—[</w:t>
      </w:r>
      <w:r>
        <w:rPr>
          <w:i/>
          <w:iCs/>
          <w:color w:val="444444"/>
        </w:rPr>
        <w:t>Omitted by the Direct Tax Laws (Amendment) Act, 1987, w.e.f. 1-4-1989.</w:t>
      </w:r>
      <w:r>
        <w:rPr>
          <w:color w:val="444444"/>
        </w:rPr>
        <w:t>]</w:t>
      </w:r>
    </w:p>
    <w:p w:rsidR="00C04649" w:rsidRDefault="00C04649" w:rsidP="00C04649">
      <w:pPr>
        <w:pStyle w:val="tx"/>
        <w:shd w:val="clear" w:color="auto" w:fill="FFFFFF"/>
        <w:spacing w:before="0" w:beforeAutospacing="0" w:after="80" w:afterAutospacing="0"/>
        <w:jc w:val="both"/>
        <w:rPr>
          <w:color w:val="444444"/>
        </w:rPr>
      </w:pPr>
      <w:r>
        <w:rPr>
          <w:i/>
          <w:iCs/>
          <w:color w:val="444444"/>
        </w:rPr>
        <w:t>Explanation 2.</w:t>
      </w:r>
      <w:r>
        <w:rPr>
          <w:color w:val="444444"/>
        </w:rPr>
        <w:t>—Where speculative transactions carried on by an assessee are of such a nature as to constitute a business, the business (hereinafter referred to as "speculation business") shall be deemed to be distinct and separate from any other business.</w:t>
      </w:r>
    </w:p>
    <w:p w:rsidR="00C04649" w:rsidRDefault="00C04649" w:rsidP="00C04649">
      <w:pPr>
        <w:pStyle w:val="tx"/>
        <w:shd w:val="clear" w:color="auto" w:fill="FFFFFF"/>
        <w:spacing w:before="0" w:beforeAutospacing="0" w:after="80" w:afterAutospacing="0"/>
        <w:jc w:val="both"/>
        <w:rPr>
          <w:color w:val="444444"/>
        </w:rPr>
      </w:pPr>
    </w:p>
    <w:p w:rsidR="00C04649" w:rsidRDefault="00C04649" w:rsidP="00C04649">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- 40, Income-tax Act, 1961-2016</w:t>
      </w:r>
    </w:p>
    <w:p w:rsidR="00C04649" w:rsidRDefault="00C04649" w:rsidP="00C04649">
      <w:pPr>
        <w:pStyle w:val="tx"/>
        <w:shd w:val="clear" w:color="auto" w:fill="FFFFFF"/>
        <w:spacing w:before="0" w:beforeAutospacing="0" w:after="80" w:afterAutospacing="0"/>
        <w:jc w:val="both"/>
        <w:rPr>
          <w:color w:val="444444"/>
        </w:rPr>
      </w:pPr>
      <w:r>
        <w:rPr>
          <w:b/>
          <w:bCs/>
          <w:color w:val="444444"/>
        </w:rPr>
        <w:t>Amounts not deductible.</w:t>
      </w:r>
    </w:p>
    <w:p w:rsidR="00C04649" w:rsidRDefault="00C04649" w:rsidP="00C04649">
      <w:pPr>
        <w:pStyle w:val="tx"/>
        <w:shd w:val="clear" w:color="auto" w:fill="FFFFFF"/>
        <w:spacing w:before="0" w:beforeAutospacing="0" w:after="80" w:afterAutospacing="0"/>
        <w:jc w:val="both"/>
        <w:rPr>
          <w:color w:val="444444"/>
        </w:rPr>
      </w:pPr>
      <w:r>
        <w:rPr>
          <w:b/>
          <w:bCs/>
          <w:color w:val="444444"/>
        </w:rPr>
        <w:t>40.</w:t>
      </w:r>
      <w:r>
        <w:rPr>
          <w:rStyle w:val="apple-converted-space"/>
          <w:color w:val="444444"/>
        </w:rPr>
        <w:t> </w:t>
      </w:r>
      <w:r>
        <w:rPr>
          <w:color w:val="444444"/>
        </w:rPr>
        <w:t>Notwithstanding anything to the contrary in</w:t>
      </w:r>
      <w:r>
        <w:rPr>
          <w:rStyle w:val="apple-converted-space"/>
          <w:color w:val="444444"/>
        </w:rPr>
        <w:t> </w:t>
      </w:r>
      <w:hyperlink r:id="rId25" w:history="1">
        <w:r>
          <w:rPr>
            <w:rStyle w:val="Hyperlink"/>
            <w:color w:val="663399"/>
          </w:rPr>
          <w:t>sections 30</w:t>
        </w:r>
      </w:hyperlink>
      <w:r>
        <w:rPr>
          <w:rStyle w:val="apple-converted-space"/>
          <w:color w:val="444444"/>
        </w:rPr>
        <w:t> </w:t>
      </w:r>
      <w:r>
        <w:rPr>
          <w:color w:val="444444"/>
        </w:rPr>
        <w:t>to</w:t>
      </w:r>
      <w:r>
        <w:rPr>
          <w:rStyle w:val="apple-converted-space"/>
          <w:color w:val="444444"/>
        </w:rPr>
        <w:t> </w:t>
      </w:r>
      <w:hyperlink r:id="rId26" w:history="1">
        <w:r>
          <w:rPr>
            <w:rStyle w:val="Hyperlink"/>
            <w:color w:val="663399"/>
          </w:rPr>
          <w:t>38</w:t>
        </w:r>
      </w:hyperlink>
      <w:r>
        <w:rPr>
          <w:color w:val="444444"/>
        </w:rPr>
        <w:t>, the following amounts shall not be deducted in computing the income chargeable under the head "Profits and gains of business or profession",—</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in the case of any assessee—</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lastRenderedPageBreak/>
        <w:t> (</w:t>
      </w:r>
      <w:r>
        <w:rPr>
          <w:i/>
          <w:iCs/>
          <w:color w:val="444444"/>
        </w:rPr>
        <w:t>i</w:t>
      </w:r>
      <w:r>
        <w:rPr>
          <w:color w:val="444444"/>
        </w:rPr>
        <w:t>)  any interest (not being interest on a loan issued for public subscription before the 1st day of April, 1938), royalty, fees for technical services or other sum chargeable under this Act, which is payable,—</w:t>
      </w:r>
    </w:p>
    <w:p w:rsidR="00C04649" w:rsidRDefault="00C04649" w:rsidP="00C04649">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A</w:t>
      </w:r>
      <w:r>
        <w:rPr>
          <w:color w:val="444444"/>
        </w:rPr>
        <w:t>)  outside India; or</w:t>
      </w:r>
    </w:p>
    <w:p w:rsidR="00C04649" w:rsidRDefault="00C04649" w:rsidP="00C04649">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B</w:t>
      </w:r>
      <w:r>
        <w:rPr>
          <w:color w:val="444444"/>
        </w:rPr>
        <w:t>)  in India to a non-resident, not being a company or to a foreign company,</w:t>
      </w:r>
    </w:p>
    <w:p w:rsidR="00C04649" w:rsidRDefault="00C04649" w:rsidP="00C04649">
      <w:pPr>
        <w:pStyle w:val="indent1"/>
        <w:shd w:val="clear" w:color="auto" w:fill="FFFFFF"/>
        <w:spacing w:before="0" w:beforeAutospacing="0" w:after="80" w:afterAutospacing="0"/>
        <w:ind w:left="567"/>
        <w:jc w:val="both"/>
        <w:rPr>
          <w:color w:val="444444"/>
        </w:rPr>
      </w:pPr>
      <w:r>
        <w:rPr>
          <w:color w:val="444444"/>
        </w:rPr>
        <w:t>on which tax is deductible at source under Chapter XVII-B and such tax has not been deducted or, after deduction, has not been paid</w:t>
      </w:r>
      <w:r>
        <w:rPr>
          <w:rStyle w:val="apple-converted-space"/>
          <w:color w:val="444444"/>
        </w:rPr>
        <w:t> </w:t>
      </w:r>
      <w:hyperlink r:id="rId27" w:history="1">
        <w:r>
          <w:rPr>
            <w:rStyle w:val="Hyperlink"/>
            <w:color w:val="663399"/>
            <w:vertAlign w:val="superscript"/>
          </w:rPr>
          <w:t>1</w:t>
        </w:r>
      </w:hyperlink>
      <w:r>
        <w:rPr>
          <w:color w:val="444444"/>
        </w:rPr>
        <w:t>[on or before the due date specified in sub-section (1) of</w:t>
      </w:r>
      <w:hyperlink r:id="rId28" w:history="1">
        <w:r>
          <w:rPr>
            <w:rStyle w:val="Hyperlink"/>
            <w:color w:val="663399"/>
          </w:rPr>
          <w:t>section 139</w:t>
        </w:r>
      </w:hyperlink>
      <w:r>
        <w:rPr>
          <w:color w:val="444444"/>
        </w:rPr>
        <w:t>] :</w:t>
      </w:r>
    </w:p>
    <w:p w:rsidR="00C04649" w:rsidRDefault="00C04649" w:rsidP="00C04649">
      <w:pPr>
        <w:pStyle w:val="indent1"/>
        <w:shd w:val="clear" w:color="auto" w:fill="FFFFFF"/>
        <w:spacing w:before="0" w:beforeAutospacing="0" w:after="80" w:afterAutospacing="0"/>
        <w:ind w:left="567"/>
        <w:jc w:val="both"/>
        <w:rPr>
          <w:color w:val="444444"/>
        </w:rPr>
      </w:pPr>
      <w:hyperlink r:id="rId29" w:history="1">
        <w:r>
          <w:rPr>
            <w:rStyle w:val="Hyperlink"/>
            <w:color w:val="663399"/>
            <w:vertAlign w:val="superscript"/>
          </w:rPr>
          <w:t>2</w:t>
        </w:r>
      </w:hyperlink>
      <w:r>
        <w:rPr>
          <w:color w:val="444444"/>
        </w:rPr>
        <w:t>[</w:t>
      </w:r>
      <w:r>
        <w:rPr>
          <w:b/>
          <w:bCs/>
          <w:color w:val="444444"/>
        </w:rPr>
        <w:t>Provided</w:t>
      </w:r>
      <w:r>
        <w:rPr>
          <w:rStyle w:val="apple-converted-space"/>
          <w:color w:val="444444"/>
        </w:rPr>
        <w:t> </w:t>
      </w:r>
      <w:r>
        <w:rPr>
          <w:color w:val="444444"/>
        </w:rPr>
        <w:t>that where in respect of any such sum, tax has been deducted in any subsequent year, or has been deducted during the previous year but paid after the due date specified in sub-section (1) of</w:t>
      </w:r>
      <w:r>
        <w:rPr>
          <w:rStyle w:val="apple-converted-space"/>
          <w:color w:val="444444"/>
        </w:rPr>
        <w:t> </w:t>
      </w:r>
      <w:hyperlink r:id="rId30" w:history="1">
        <w:r>
          <w:rPr>
            <w:rStyle w:val="Hyperlink"/>
            <w:color w:val="663399"/>
          </w:rPr>
          <w:t>section 139</w:t>
        </w:r>
      </w:hyperlink>
      <w:r>
        <w:rPr>
          <w:color w:val="444444"/>
        </w:rPr>
        <w:t>, such sum shall be allowed as a deduction in computing the income of the previous year in which such tax has been paid.]</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w:t>
      </w:r>
      <w:r>
        <w:rPr>
          <w:color w:val="444444"/>
        </w:rPr>
        <w:t>—For the purposes of this sub-clause,—</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A</w:t>
      </w:r>
      <w:r>
        <w:rPr>
          <w:color w:val="444444"/>
        </w:rPr>
        <w:t>)  "royalty" shall have the same meaning as in</w:t>
      </w:r>
      <w:r>
        <w:rPr>
          <w:rStyle w:val="apple-converted-space"/>
          <w:color w:val="444444"/>
        </w:rPr>
        <w:t> </w:t>
      </w:r>
      <w:r>
        <w:rPr>
          <w:i/>
          <w:iCs/>
          <w:color w:val="444444"/>
        </w:rPr>
        <w:t>Explanation</w:t>
      </w:r>
      <w:r>
        <w:rPr>
          <w:rStyle w:val="apple-converted-space"/>
          <w:color w:val="444444"/>
        </w:rPr>
        <w:t> </w:t>
      </w:r>
      <w:r>
        <w:rPr>
          <w:i/>
          <w:iCs/>
          <w:color w:val="444444"/>
        </w:rPr>
        <w:t>2</w:t>
      </w:r>
      <w:r>
        <w:rPr>
          <w:rStyle w:val="apple-converted-space"/>
          <w:color w:val="444444"/>
        </w:rPr>
        <w:t> </w:t>
      </w:r>
      <w:r>
        <w:rPr>
          <w:color w:val="444444"/>
        </w:rPr>
        <w:t>to clause (</w:t>
      </w:r>
      <w:r>
        <w:rPr>
          <w:i/>
          <w:iCs/>
          <w:color w:val="444444"/>
        </w:rPr>
        <w:t>vi</w:t>
      </w:r>
      <w:r>
        <w:rPr>
          <w:color w:val="444444"/>
        </w:rPr>
        <w:t>) of sub-section (1) of</w:t>
      </w:r>
      <w:r>
        <w:rPr>
          <w:rStyle w:val="apple-converted-space"/>
          <w:color w:val="444444"/>
        </w:rPr>
        <w:t> </w:t>
      </w:r>
      <w:hyperlink r:id="rId31" w:history="1">
        <w:r>
          <w:rPr>
            <w:rStyle w:val="Hyperlink"/>
            <w:color w:val="663399"/>
          </w:rPr>
          <w:t>section 9</w:t>
        </w:r>
      </w:hyperlink>
      <w:r>
        <w:rPr>
          <w:color w:val="444444"/>
        </w:rPr>
        <w:t>;</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B</w:t>
      </w:r>
      <w:r>
        <w:rPr>
          <w:color w:val="444444"/>
        </w:rPr>
        <w:t>)  "fees for technical services" shall have the same meaning as in</w:t>
      </w:r>
      <w:r>
        <w:rPr>
          <w:rStyle w:val="apple-converted-space"/>
          <w:color w:val="444444"/>
        </w:rPr>
        <w:t> </w:t>
      </w:r>
      <w:r>
        <w:rPr>
          <w:i/>
          <w:iCs/>
          <w:color w:val="444444"/>
        </w:rPr>
        <w:t>Explanation</w:t>
      </w:r>
      <w:r>
        <w:rPr>
          <w:rStyle w:val="apple-converted-space"/>
          <w:color w:val="444444"/>
        </w:rPr>
        <w:t> </w:t>
      </w:r>
      <w:r>
        <w:rPr>
          <w:i/>
          <w:iCs/>
          <w:color w:val="444444"/>
        </w:rPr>
        <w:t>2</w:t>
      </w:r>
      <w:r>
        <w:rPr>
          <w:rStyle w:val="apple-converted-space"/>
          <w:color w:val="444444"/>
        </w:rPr>
        <w:t> </w:t>
      </w:r>
      <w:r>
        <w:rPr>
          <w:color w:val="444444"/>
        </w:rPr>
        <w:t>to clause (</w:t>
      </w:r>
      <w:r>
        <w:rPr>
          <w:i/>
          <w:iCs/>
          <w:color w:val="444444"/>
        </w:rPr>
        <w:t>vii</w:t>
      </w:r>
      <w:r>
        <w:rPr>
          <w:color w:val="444444"/>
        </w:rPr>
        <w:t>) of sub-section (1) of</w:t>
      </w:r>
      <w:r>
        <w:rPr>
          <w:rStyle w:val="apple-converted-space"/>
          <w:color w:val="444444"/>
        </w:rPr>
        <w:t> </w:t>
      </w:r>
      <w:hyperlink r:id="rId32" w:history="1">
        <w:r>
          <w:rPr>
            <w:rStyle w:val="Hyperlink"/>
            <w:color w:val="663399"/>
          </w:rPr>
          <w:t>section 9</w:t>
        </w:r>
      </w:hyperlink>
      <w:r>
        <w:rPr>
          <w:color w:val="444444"/>
        </w:rPr>
        <w:t>;</w:t>
      </w:r>
    </w:p>
    <w:p w:rsidR="00C04649" w:rsidRDefault="00C04649" w:rsidP="00C04649">
      <w:pPr>
        <w:pStyle w:val="indent1"/>
        <w:shd w:val="clear" w:color="auto" w:fill="FFFFFF"/>
        <w:spacing w:before="0" w:beforeAutospacing="0" w:after="80" w:afterAutospacing="0"/>
        <w:ind w:left="567" w:hanging="454"/>
        <w:jc w:val="both"/>
        <w:rPr>
          <w:color w:val="444444"/>
        </w:rPr>
      </w:pPr>
      <w:r>
        <w:rPr>
          <w:color w:val="444444"/>
        </w:rPr>
        <w:t>(</w:t>
      </w:r>
      <w:r>
        <w:rPr>
          <w:i/>
          <w:iCs/>
          <w:color w:val="444444"/>
        </w:rPr>
        <w:t>ia</w:t>
      </w:r>
      <w:r>
        <w:rPr>
          <w:color w:val="444444"/>
        </w:rPr>
        <w:t xml:space="preserve">) </w:t>
      </w:r>
      <w:hyperlink r:id="rId33" w:history="1">
        <w:r>
          <w:rPr>
            <w:rStyle w:val="Hyperlink"/>
            <w:color w:val="663399"/>
            <w:vertAlign w:val="superscript"/>
          </w:rPr>
          <w:t> 3</w:t>
        </w:r>
      </w:hyperlink>
      <w:r>
        <w:rPr>
          <w:color w:val="444444"/>
        </w:rPr>
        <w:t>[thirty per cent of any sum payable to a resident], on which tax is deductible at source under Chapter XVII-B and such tax has not been deducted or, after deduction, has not been paid on or before the due date specified in sub-section (1) of</w:t>
      </w:r>
      <w:r>
        <w:rPr>
          <w:rStyle w:val="apple-converted-space"/>
          <w:color w:val="444444"/>
        </w:rPr>
        <w:t> </w:t>
      </w:r>
      <w:hyperlink r:id="rId34" w:history="1">
        <w:r>
          <w:rPr>
            <w:rStyle w:val="Hyperlink"/>
            <w:color w:val="663399"/>
          </w:rPr>
          <w:t>section 139</w:t>
        </w:r>
      </w:hyperlink>
      <w:r>
        <w:rPr>
          <w:rStyle w:val="apple-converted-space"/>
          <w:color w:val="444444"/>
        </w:rPr>
        <w:t> </w:t>
      </w:r>
      <w:r>
        <w:rPr>
          <w:color w:val="444444"/>
        </w:rPr>
        <w:t>:</w:t>
      </w:r>
    </w:p>
    <w:p w:rsidR="00C04649" w:rsidRDefault="00C04649" w:rsidP="00C04649">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b/>
          <w:bCs/>
          <w:color w:val="444444"/>
        </w:rPr>
        <w:t> </w:t>
      </w:r>
      <w:r>
        <w:rPr>
          <w:color w:val="444444"/>
        </w:rPr>
        <w:t>that where in respect of any such sum, tax has been deducted in any subsequent year, or has been deducted during the previous year but paid after the due date specified in sub-section (1) of</w:t>
      </w:r>
      <w:r>
        <w:rPr>
          <w:rStyle w:val="apple-converted-space"/>
          <w:color w:val="444444"/>
        </w:rPr>
        <w:t> </w:t>
      </w:r>
      <w:hyperlink r:id="rId35" w:history="1">
        <w:r>
          <w:rPr>
            <w:rStyle w:val="Hyperlink"/>
            <w:color w:val="663399"/>
          </w:rPr>
          <w:t>section 139</w:t>
        </w:r>
      </w:hyperlink>
      <w:r>
        <w:rPr>
          <w:color w:val="444444"/>
        </w:rPr>
        <w:t>,</w:t>
      </w:r>
      <w:r>
        <w:rPr>
          <w:rStyle w:val="apple-converted-space"/>
          <w:color w:val="444444"/>
        </w:rPr>
        <w:t> </w:t>
      </w:r>
      <w:hyperlink r:id="rId36" w:history="1">
        <w:r>
          <w:rPr>
            <w:rStyle w:val="Hyperlink"/>
            <w:color w:val="663399"/>
            <w:vertAlign w:val="superscript"/>
          </w:rPr>
          <w:t>4</w:t>
        </w:r>
      </w:hyperlink>
      <w:r>
        <w:rPr>
          <w:color w:val="444444"/>
        </w:rPr>
        <w:t>[thirty per cent of] such sum shall be allowed as a deduction in computing the income of the previous year in which such tax has been paid :</w:t>
      </w:r>
    </w:p>
    <w:p w:rsidR="00C04649" w:rsidRDefault="00C04649" w:rsidP="00C04649">
      <w:pPr>
        <w:pStyle w:val="indent1"/>
        <w:shd w:val="clear" w:color="auto" w:fill="FFFFFF"/>
        <w:spacing w:before="0" w:beforeAutospacing="0" w:after="80" w:afterAutospacing="0"/>
        <w:ind w:left="567"/>
        <w:jc w:val="both"/>
        <w:rPr>
          <w:color w:val="444444"/>
        </w:rPr>
      </w:pPr>
      <w:r>
        <w:rPr>
          <w:b/>
          <w:bCs/>
          <w:color w:val="444444"/>
        </w:rPr>
        <w:t>Provided further</w:t>
      </w:r>
      <w:r>
        <w:rPr>
          <w:rStyle w:val="apple-converted-space"/>
          <w:color w:val="444444"/>
        </w:rPr>
        <w:t> </w:t>
      </w:r>
      <w:r>
        <w:rPr>
          <w:color w:val="444444"/>
        </w:rPr>
        <w:t>that where an assessee fails to deduct the whole or any part of the tax in accordance with the provisions of Chapter XVII-B on any such sum but is not deemed to be an assessee in default under the first proviso to sub-section (1) of</w:t>
      </w:r>
      <w:r>
        <w:rPr>
          <w:rStyle w:val="apple-converted-space"/>
          <w:color w:val="444444"/>
        </w:rPr>
        <w:t> </w:t>
      </w:r>
      <w:hyperlink r:id="rId37" w:history="1">
        <w:r>
          <w:rPr>
            <w:rStyle w:val="Hyperlink"/>
            <w:color w:val="663399"/>
          </w:rPr>
          <w:t>section 201</w:t>
        </w:r>
      </w:hyperlink>
      <w:r>
        <w:rPr>
          <w:color w:val="444444"/>
        </w:rPr>
        <w:t>, then, for the purpose of this sub-clause, it shall be deemed that the assessee has deducted and paid the tax on such sum on the date of furnishing of return of income by the resident payee referred to in the said proviso.</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w:t>
      </w:r>
      <w:r>
        <w:rPr>
          <w:color w:val="444444"/>
        </w:rPr>
        <w:t>—For the purposes of this sub-clause,—</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"commission or brokerage" shall have the same meaning as in clause (</w:t>
      </w:r>
      <w:r>
        <w:rPr>
          <w:i/>
          <w:iCs/>
          <w:color w:val="444444"/>
        </w:rPr>
        <w:t>i</w:t>
      </w:r>
      <w:r>
        <w:rPr>
          <w:color w:val="444444"/>
        </w:rPr>
        <w:t>) of the</w:t>
      </w:r>
      <w:r>
        <w:rPr>
          <w:rStyle w:val="apple-converted-space"/>
          <w:color w:val="444444"/>
        </w:rPr>
        <w:t> </w:t>
      </w:r>
      <w:r>
        <w:rPr>
          <w:i/>
          <w:iCs/>
          <w:color w:val="444444"/>
        </w:rPr>
        <w:t>Explanation</w:t>
      </w:r>
      <w:r>
        <w:rPr>
          <w:rStyle w:val="apple-converted-space"/>
          <w:color w:val="444444"/>
        </w:rPr>
        <w:t> </w:t>
      </w:r>
      <w:r>
        <w:rPr>
          <w:color w:val="444444"/>
        </w:rPr>
        <w:t>to</w:t>
      </w:r>
      <w:r>
        <w:rPr>
          <w:rStyle w:val="apple-converted-space"/>
          <w:color w:val="444444"/>
        </w:rPr>
        <w:t> </w:t>
      </w:r>
      <w:hyperlink r:id="rId38" w:history="1">
        <w:r>
          <w:rPr>
            <w:rStyle w:val="Hyperlink"/>
            <w:color w:val="663399"/>
          </w:rPr>
          <w:t>section 194H</w:t>
        </w:r>
      </w:hyperlink>
      <w:r>
        <w:rPr>
          <w:color w:val="444444"/>
        </w:rPr>
        <w:t>;</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ii</w:t>
      </w:r>
      <w:r>
        <w:rPr>
          <w:color w:val="444444"/>
        </w:rPr>
        <w:t>)  "fees for technical services" shall have the same meaning as in</w:t>
      </w:r>
      <w:r>
        <w:rPr>
          <w:rStyle w:val="apple-converted-space"/>
          <w:color w:val="444444"/>
        </w:rPr>
        <w:t> </w:t>
      </w:r>
      <w:r>
        <w:rPr>
          <w:i/>
          <w:iCs/>
          <w:color w:val="444444"/>
        </w:rPr>
        <w:t>Explanation</w:t>
      </w:r>
      <w:r>
        <w:rPr>
          <w:rStyle w:val="apple-converted-space"/>
          <w:color w:val="444444"/>
        </w:rPr>
        <w:t> </w:t>
      </w:r>
      <w:r>
        <w:rPr>
          <w:i/>
          <w:iCs/>
          <w:color w:val="444444"/>
        </w:rPr>
        <w:t>2</w:t>
      </w:r>
      <w:r>
        <w:rPr>
          <w:rStyle w:val="apple-converted-space"/>
          <w:color w:val="444444"/>
        </w:rPr>
        <w:t> </w:t>
      </w:r>
      <w:r>
        <w:rPr>
          <w:color w:val="444444"/>
        </w:rPr>
        <w:t>to clause (</w:t>
      </w:r>
      <w:r>
        <w:rPr>
          <w:i/>
          <w:iCs/>
          <w:color w:val="444444"/>
        </w:rPr>
        <w:t>vii</w:t>
      </w:r>
      <w:r>
        <w:rPr>
          <w:color w:val="444444"/>
        </w:rPr>
        <w:t>) of sub-section (1) of</w:t>
      </w:r>
      <w:r>
        <w:rPr>
          <w:rStyle w:val="apple-converted-space"/>
          <w:color w:val="444444"/>
        </w:rPr>
        <w:t> </w:t>
      </w:r>
      <w:hyperlink r:id="rId39" w:history="1">
        <w:r>
          <w:rPr>
            <w:rStyle w:val="Hyperlink"/>
            <w:color w:val="663399"/>
          </w:rPr>
          <w:t>section 9</w:t>
        </w:r>
      </w:hyperlink>
      <w:r>
        <w:rPr>
          <w:color w:val="444444"/>
        </w:rPr>
        <w:t>;</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iii</w:t>
      </w:r>
      <w:r>
        <w:rPr>
          <w:color w:val="444444"/>
        </w:rPr>
        <w:t>)  "professional services" shall have the same meaning as in clause (</w:t>
      </w:r>
      <w:r>
        <w:rPr>
          <w:i/>
          <w:iCs/>
          <w:color w:val="444444"/>
        </w:rPr>
        <w:t>a</w:t>
      </w:r>
      <w:r>
        <w:rPr>
          <w:color w:val="444444"/>
        </w:rPr>
        <w:t>) of the</w:t>
      </w:r>
      <w:r>
        <w:rPr>
          <w:rStyle w:val="apple-converted-space"/>
          <w:color w:val="444444"/>
        </w:rPr>
        <w:t> </w:t>
      </w:r>
      <w:r>
        <w:rPr>
          <w:i/>
          <w:iCs/>
          <w:color w:val="444444"/>
        </w:rPr>
        <w:t>Explanation</w:t>
      </w:r>
      <w:r>
        <w:rPr>
          <w:rStyle w:val="apple-converted-space"/>
          <w:color w:val="444444"/>
        </w:rPr>
        <w:t> </w:t>
      </w:r>
      <w:r>
        <w:rPr>
          <w:color w:val="444444"/>
        </w:rPr>
        <w:t>to</w:t>
      </w:r>
      <w:r>
        <w:rPr>
          <w:rStyle w:val="apple-converted-space"/>
          <w:color w:val="444444"/>
        </w:rPr>
        <w:t> </w:t>
      </w:r>
      <w:hyperlink r:id="rId40" w:history="1">
        <w:r>
          <w:rPr>
            <w:rStyle w:val="Hyperlink"/>
            <w:color w:val="663399"/>
          </w:rPr>
          <w:t>section 194J</w:t>
        </w:r>
      </w:hyperlink>
      <w:r>
        <w:rPr>
          <w:color w:val="444444"/>
        </w:rPr>
        <w:t>;</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iv</w:t>
      </w:r>
      <w:r>
        <w:rPr>
          <w:color w:val="444444"/>
        </w:rPr>
        <w:t>)  "work" shall have the same meaning as in</w:t>
      </w:r>
      <w:r>
        <w:rPr>
          <w:rStyle w:val="apple-converted-space"/>
          <w:color w:val="444444"/>
        </w:rPr>
        <w:t> </w:t>
      </w:r>
      <w:r>
        <w:rPr>
          <w:i/>
          <w:iCs/>
          <w:color w:val="444444"/>
        </w:rPr>
        <w:t>Explanation</w:t>
      </w:r>
      <w:r>
        <w:rPr>
          <w:rStyle w:val="apple-converted-space"/>
          <w:color w:val="444444"/>
        </w:rPr>
        <w:t> </w:t>
      </w:r>
      <w:r>
        <w:rPr>
          <w:i/>
          <w:iCs/>
          <w:color w:val="444444"/>
        </w:rPr>
        <w:t>III</w:t>
      </w:r>
      <w:r>
        <w:rPr>
          <w:rStyle w:val="apple-converted-space"/>
          <w:i/>
          <w:iCs/>
          <w:color w:val="444444"/>
        </w:rPr>
        <w:t> </w:t>
      </w:r>
      <w:r>
        <w:rPr>
          <w:color w:val="444444"/>
        </w:rPr>
        <w:t>to</w:t>
      </w:r>
      <w:r>
        <w:rPr>
          <w:rStyle w:val="apple-converted-space"/>
          <w:color w:val="444444"/>
        </w:rPr>
        <w:t> </w:t>
      </w:r>
      <w:hyperlink r:id="rId41" w:history="1">
        <w:r>
          <w:rPr>
            <w:rStyle w:val="Hyperlink"/>
            <w:color w:val="663399"/>
          </w:rPr>
          <w:t>section 194C</w:t>
        </w:r>
      </w:hyperlink>
      <w:r>
        <w:rPr>
          <w:color w:val="444444"/>
        </w:rPr>
        <w:t>;</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lastRenderedPageBreak/>
        <w:t>(</w:t>
      </w:r>
      <w:r>
        <w:rPr>
          <w:i/>
          <w:iCs/>
          <w:color w:val="444444"/>
        </w:rPr>
        <w:t>v</w:t>
      </w:r>
      <w:r>
        <w:rPr>
          <w:color w:val="444444"/>
        </w:rPr>
        <w:t>)  "rent" shall have the same meaning as in clause (</w:t>
      </w:r>
      <w:r>
        <w:rPr>
          <w:i/>
          <w:iCs/>
          <w:color w:val="444444"/>
        </w:rPr>
        <w:t>i</w:t>
      </w:r>
      <w:r>
        <w:rPr>
          <w:color w:val="444444"/>
        </w:rPr>
        <w:t>) to the</w:t>
      </w:r>
      <w:r>
        <w:rPr>
          <w:rStyle w:val="apple-converted-space"/>
          <w:color w:val="444444"/>
        </w:rPr>
        <w:t> </w:t>
      </w:r>
      <w:r>
        <w:rPr>
          <w:i/>
          <w:iCs/>
          <w:color w:val="444444"/>
        </w:rPr>
        <w:t>Explanation</w:t>
      </w:r>
      <w:r>
        <w:rPr>
          <w:rStyle w:val="apple-converted-space"/>
          <w:i/>
          <w:iCs/>
          <w:color w:val="444444"/>
        </w:rPr>
        <w:t> </w:t>
      </w:r>
      <w:r>
        <w:rPr>
          <w:color w:val="444444"/>
        </w:rPr>
        <w:t>to</w:t>
      </w:r>
      <w:r>
        <w:rPr>
          <w:rStyle w:val="apple-converted-space"/>
          <w:color w:val="444444"/>
        </w:rPr>
        <w:t> </w:t>
      </w:r>
      <w:hyperlink r:id="rId42" w:history="1">
        <w:r>
          <w:rPr>
            <w:rStyle w:val="Hyperlink"/>
            <w:color w:val="663399"/>
          </w:rPr>
          <w:t>section 194-I</w:t>
        </w:r>
      </w:hyperlink>
      <w:r>
        <w:rPr>
          <w:color w:val="444444"/>
        </w:rPr>
        <w:t>;</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vi</w:t>
      </w:r>
      <w:r>
        <w:rPr>
          <w:color w:val="444444"/>
        </w:rPr>
        <w:t>)  "royalty" shall have the same meaning as in</w:t>
      </w:r>
      <w:r>
        <w:rPr>
          <w:rStyle w:val="apple-converted-space"/>
          <w:color w:val="444444"/>
        </w:rPr>
        <w:t> </w:t>
      </w:r>
      <w:r>
        <w:rPr>
          <w:i/>
          <w:iCs/>
          <w:color w:val="444444"/>
        </w:rPr>
        <w:t>Explanation 2</w:t>
      </w:r>
      <w:r>
        <w:rPr>
          <w:rStyle w:val="apple-converted-space"/>
          <w:i/>
          <w:iCs/>
          <w:color w:val="444444"/>
        </w:rPr>
        <w:t> </w:t>
      </w:r>
      <w:r>
        <w:rPr>
          <w:color w:val="444444"/>
        </w:rPr>
        <w:t>to clause (</w:t>
      </w:r>
      <w:r>
        <w:rPr>
          <w:i/>
          <w:iCs/>
          <w:color w:val="444444"/>
        </w:rPr>
        <w:t>vi</w:t>
      </w:r>
      <w:r>
        <w:rPr>
          <w:color w:val="444444"/>
        </w:rPr>
        <w:t>) of sub-section (1) of</w:t>
      </w:r>
      <w:r>
        <w:rPr>
          <w:rStyle w:val="apple-converted-space"/>
          <w:color w:val="444444"/>
        </w:rPr>
        <w:t> </w:t>
      </w:r>
      <w:hyperlink r:id="rId43" w:history="1">
        <w:r>
          <w:rPr>
            <w:rStyle w:val="Hyperlink"/>
            <w:color w:val="663399"/>
          </w:rPr>
          <w:t>section 9</w:t>
        </w:r>
      </w:hyperlink>
      <w:r>
        <w:rPr>
          <w:color w:val="444444"/>
        </w:rPr>
        <w:t>;</w:t>
      </w:r>
    </w:p>
    <w:p w:rsidR="00C04649" w:rsidRDefault="00C04649" w:rsidP="00C04649">
      <w:pPr>
        <w:pStyle w:val="indent1"/>
        <w:shd w:val="clear" w:color="auto" w:fill="FFFFFF"/>
        <w:spacing w:before="0" w:beforeAutospacing="0" w:after="80" w:afterAutospacing="0"/>
        <w:ind w:left="567" w:hanging="510"/>
        <w:jc w:val="both"/>
        <w:rPr>
          <w:color w:val="444444"/>
        </w:rPr>
      </w:pPr>
      <w:hyperlink r:id="rId44" w:history="1">
        <w:r>
          <w:rPr>
            <w:rStyle w:val="Hyperlink"/>
            <w:color w:val="663399"/>
            <w:vertAlign w:val="superscript"/>
          </w:rPr>
          <w:t>5</w:t>
        </w:r>
      </w:hyperlink>
      <w:r>
        <w:rPr>
          <w:b/>
          <w:bCs/>
          <w:color w:val="444444"/>
        </w:rPr>
        <w:t>[</w:t>
      </w:r>
      <w:r>
        <w:rPr>
          <w:i/>
          <w:iCs/>
          <w:color w:val="444444"/>
        </w:rPr>
        <w:t>(</w:t>
      </w:r>
      <w:r>
        <w:rPr>
          <w:color w:val="444444"/>
        </w:rPr>
        <w:t>ib</w:t>
      </w:r>
      <w:r>
        <w:rPr>
          <w:i/>
          <w:iCs/>
          <w:color w:val="444444"/>
        </w:rPr>
        <w:t>) any consideration paid or payable to a non-resident for a specified service on which equalisation levy is deductible under the provisions of Chapter VIII of the Finance Act, 2016, and such levy has not been deducted or after deduction, has not been paid on or before the due date specified in sub-section (1) of section 139 :</w:t>
      </w:r>
    </w:p>
    <w:p w:rsidR="00C04649" w:rsidRDefault="00C04649" w:rsidP="00C04649">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i/>
          <w:iCs/>
          <w:color w:val="444444"/>
        </w:rPr>
        <w:t>that where in respect of any such consideration, the equalisation levy has been deducted in any subsequent year or has been deducted during the previous year but paid after the due date specified in sub-section (1) of section 139, such sum shall be allowed as a deduction in computing the income of the previous year in which such levy has been paid;</w:t>
      </w:r>
      <w:r>
        <w:rPr>
          <w:b/>
          <w:bCs/>
          <w:color w:val="444444"/>
        </w:rPr>
        <w:t>]</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ic</w:t>
      </w:r>
      <w:r>
        <w:rPr>
          <w:color w:val="444444"/>
        </w:rPr>
        <w:t>) any sum paid on account of fringe benefit tax under Chapter XIIH;</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ii</w:t>
      </w:r>
      <w:r>
        <w:rPr>
          <w:color w:val="444444"/>
        </w:rPr>
        <w:t>)  any sum paid on account of any rate or tax levied on the profits or gains of any business or profession or assessed at a proportion of, or otherwise on the basis of, any such profits or gains.</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1.—</w:t>
      </w:r>
      <w:r>
        <w:rPr>
          <w:color w:val="444444"/>
        </w:rPr>
        <w:t>For the removal of doubts, it is hereby declared that for the purposes of this sub-clause, any sum paid on account of any rate or tax levied includes and shall be deemed always to have included any sum eligible for relief of tax under</w:t>
      </w:r>
      <w:r>
        <w:rPr>
          <w:rStyle w:val="apple-converted-space"/>
          <w:color w:val="444444"/>
        </w:rPr>
        <w:t> </w:t>
      </w:r>
      <w:hyperlink r:id="rId45" w:history="1">
        <w:r>
          <w:rPr>
            <w:rStyle w:val="Hyperlink"/>
            <w:color w:val="663399"/>
          </w:rPr>
          <w:t>section 90</w:t>
        </w:r>
      </w:hyperlink>
      <w:r>
        <w:rPr>
          <w:rStyle w:val="apple-converted-space"/>
          <w:color w:val="444444"/>
        </w:rPr>
        <w:t> </w:t>
      </w:r>
      <w:r>
        <w:rPr>
          <w:color w:val="444444"/>
        </w:rPr>
        <w:t>or, as the case may be, deduction from the Indian income-tax payable under</w:t>
      </w:r>
      <w:r>
        <w:rPr>
          <w:rStyle w:val="apple-converted-space"/>
          <w:color w:val="444444"/>
        </w:rPr>
        <w:t> </w:t>
      </w:r>
      <w:hyperlink r:id="rId46" w:history="1">
        <w:r>
          <w:rPr>
            <w:rStyle w:val="Hyperlink"/>
            <w:color w:val="663399"/>
          </w:rPr>
          <w:t>section 91</w:t>
        </w:r>
      </w:hyperlink>
      <w:r>
        <w:rPr>
          <w:color w:val="444444"/>
        </w:rPr>
        <w:t>.</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2.—</w:t>
      </w:r>
      <w:r>
        <w:rPr>
          <w:color w:val="444444"/>
        </w:rPr>
        <w:t>For the removal of doubts, it is hereby declared that for the purposes of this sub-clause, any sum paid on account of any rate or tax levied includes any sum eligible for relief of tax under</w:t>
      </w:r>
      <w:r>
        <w:rPr>
          <w:rStyle w:val="apple-converted-space"/>
          <w:color w:val="444444"/>
        </w:rPr>
        <w:t> </w:t>
      </w:r>
      <w:hyperlink r:id="rId47" w:history="1">
        <w:r>
          <w:rPr>
            <w:rStyle w:val="Hyperlink"/>
            <w:color w:val="663399"/>
          </w:rPr>
          <w:t>section 90A</w:t>
        </w:r>
      </w:hyperlink>
      <w:r>
        <w:rPr>
          <w:color w:val="444444"/>
        </w:rPr>
        <w:t>;</w:t>
      </w:r>
    </w:p>
    <w:p w:rsidR="00C04649" w:rsidRDefault="00C04649" w:rsidP="00C04649">
      <w:pPr>
        <w:pStyle w:val="indent1"/>
        <w:shd w:val="clear" w:color="auto" w:fill="FFFFFF"/>
        <w:spacing w:before="0" w:beforeAutospacing="0" w:after="80" w:afterAutospacing="0"/>
        <w:ind w:left="567" w:hanging="454"/>
        <w:jc w:val="both"/>
        <w:rPr>
          <w:color w:val="444444"/>
        </w:rPr>
      </w:pPr>
      <w:r>
        <w:rPr>
          <w:color w:val="444444"/>
        </w:rPr>
        <w:t>(</w:t>
      </w:r>
      <w:r>
        <w:rPr>
          <w:i/>
          <w:iCs/>
          <w:color w:val="444444"/>
        </w:rPr>
        <w:t>iia</w:t>
      </w:r>
      <w:r>
        <w:rPr>
          <w:color w:val="444444"/>
        </w:rPr>
        <w:t>) any sum paid on account of wealth-tax.</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w:t>
      </w:r>
      <w:r>
        <w:rPr>
          <w:color w:val="444444"/>
        </w:rPr>
        <w:t>—For the purposes of this sub-clause, "wealth-tax" means wealth-tax chargeable under the Wealth-tax Act, 1957 (27 of 1957), or any tax of a similar character chargeable under any law in force in any country outside India or any tax chargeable under such law with reference to the value of the assets of, or the capital employed in, a business or profession carried on by the assessee, whether or not the debts of the business or profession are allowed as a deduction in computing the amount with reference to which such tax is charged, but does not include any tax chargeable with reference to the value of any particular asset of the business or profession;</w:t>
      </w:r>
    </w:p>
    <w:p w:rsidR="00C04649" w:rsidRDefault="00C04649" w:rsidP="00C04649">
      <w:pPr>
        <w:pStyle w:val="indent1"/>
        <w:shd w:val="clear" w:color="auto" w:fill="FFFFFF"/>
        <w:spacing w:before="0" w:beforeAutospacing="0" w:after="80" w:afterAutospacing="0"/>
        <w:ind w:left="567" w:hanging="454"/>
        <w:jc w:val="both"/>
        <w:rPr>
          <w:color w:val="444444"/>
        </w:rPr>
      </w:pPr>
      <w:r>
        <w:rPr>
          <w:color w:val="444444"/>
        </w:rPr>
        <w:t>(</w:t>
      </w:r>
      <w:r>
        <w:rPr>
          <w:i/>
          <w:iCs/>
          <w:color w:val="444444"/>
        </w:rPr>
        <w:t>iib</w:t>
      </w:r>
      <w:r>
        <w:rPr>
          <w:color w:val="444444"/>
        </w:rPr>
        <w:t>) any amount—</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A</w:t>
      </w:r>
      <w:r>
        <w:rPr>
          <w:color w:val="444444"/>
        </w:rPr>
        <w:t>)</w:t>
      </w:r>
      <w:r>
        <w:rPr>
          <w:i/>
          <w:iCs/>
          <w:color w:val="444444"/>
        </w:rPr>
        <w:t xml:space="preserve">  </w:t>
      </w:r>
      <w:r>
        <w:rPr>
          <w:color w:val="444444"/>
        </w:rPr>
        <w:t>paid by way of royalty, licence fee, service fee, privilege fee, service charge or any other fee or charge, by whatever name called, which is levied exclusively on;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B</w:t>
      </w:r>
      <w:r>
        <w:rPr>
          <w:color w:val="444444"/>
        </w:rPr>
        <w:t>)  which is appropriated, directly or indirectly, from, a State Government undertaking by the State Government.</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lastRenderedPageBreak/>
        <w:t>Explanation.</w:t>
      </w:r>
      <w:r>
        <w:rPr>
          <w:color w:val="444444"/>
        </w:rPr>
        <w:t>—For the purposes of this sub-clause, a State Government undertaking includes—</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w:t>
      </w:r>
      <w:r>
        <w:rPr>
          <w:i/>
          <w:iCs/>
          <w:color w:val="444444"/>
        </w:rPr>
        <w:t xml:space="preserve">  </w:t>
      </w:r>
      <w:r>
        <w:rPr>
          <w:color w:val="444444"/>
        </w:rPr>
        <w:t>a corporation established by or under any Act of the State Government;</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ii</w:t>
      </w:r>
      <w:r>
        <w:rPr>
          <w:color w:val="444444"/>
        </w:rPr>
        <w:t>)  a company in which more than fifty per cent of the paid-up equity share capital is held by the State Government;</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iii</w:t>
      </w:r>
      <w:r>
        <w:rPr>
          <w:color w:val="444444"/>
        </w:rPr>
        <w:t>) a company in which more than fifty per cent of the paid-up equity share capital is held by the entity referred to in clause (</w:t>
      </w:r>
      <w:r>
        <w:rPr>
          <w:i/>
          <w:iCs/>
          <w:color w:val="444444"/>
        </w:rPr>
        <w:t>i</w:t>
      </w:r>
      <w:r>
        <w:rPr>
          <w:color w:val="444444"/>
        </w:rPr>
        <w:t>) or clause (</w:t>
      </w:r>
      <w:r>
        <w:rPr>
          <w:i/>
          <w:iCs/>
          <w:color w:val="444444"/>
        </w:rPr>
        <w:t>ii</w:t>
      </w:r>
      <w:r>
        <w:rPr>
          <w:color w:val="444444"/>
        </w:rPr>
        <w:t>) (whether singly or taken together);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iv</w:t>
      </w:r>
      <w:r>
        <w:rPr>
          <w:color w:val="444444"/>
        </w:rPr>
        <w:t>)  a company or corporation in which the State Government has the right to appoint the majority of the directors or to control the management or policy decisions, directly or indirectly, including by virtue of its shareholding or management rights or shareholders agreements or voting agreements or in any other manner;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v</w:t>
      </w:r>
      <w:r>
        <w:rPr>
          <w:color w:val="444444"/>
        </w:rPr>
        <w:t>)</w:t>
      </w:r>
      <w:r>
        <w:rPr>
          <w:i/>
          <w:iCs/>
          <w:color w:val="444444"/>
        </w:rPr>
        <w:t xml:space="preserve">  </w:t>
      </w:r>
      <w:r>
        <w:rPr>
          <w:color w:val="444444"/>
        </w:rPr>
        <w:t>an authority, a board or an institution or a body established or constituted by or under any Act of the State Government or owned or controlled by the State Government;</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iii</w:t>
      </w:r>
      <w:r>
        <w:rPr>
          <w:color w:val="444444"/>
        </w:rPr>
        <w:t>) any payment which is chargeable under the head "Salaries", if it is payable—</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A</w:t>
      </w:r>
      <w:r>
        <w:rPr>
          <w:color w:val="444444"/>
        </w:rPr>
        <w:t>)  outside India;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B</w:t>
      </w:r>
      <w:r>
        <w:rPr>
          <w:color w:val="444444"/>
        </w:rPr>
        <w:t>)  to a non-resident,</w:t>
      </w:r>
    </w:p>
    <w:p w:rsidR="00C04649" w:rsidRDefault="00C04649" w:rsidP="00C04649">
      <w:pPr>
        <w:pStyle w:val="indent1"/>
        <w:shd w:val="clear" w:color="auto" w:fill="FFFFFF"/>
        <w:spacing w:before="0" w:beforeAutospacing="0" w:after="80" w:afterAutospacing="0"/>
        <w:ind w:left="567"/>
        <w:jc w:val="both"/>
        <w:rPr>
          <w:color w:val="444444"/>
        </w:rPr>
      </w:pPr>
      <w:r>
        <w:rPr>
          <w:color w:val="444444"/>
        </w:rPr>
        <w:t>and if the tax has not been paid thereon nor deducted therefrom under Chapter XVII-B;</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iv</w:t>
      </w:r>
      <w:r>
        <w:rPr>
          <w:color w:val="444444"/>
        </w:rPr>
        <w:t>) any payment to a provident or other fund established for the benefit of employees of the assessee, unless the assessee has made effective arrangements to secure that tax shall be deducted at source from any payments made from the fund which are chargeable to tax under the head "Salaries";</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v</w:t>
      </w:r>
      <w:r>
        <w:rPr>
          <w:color w:val="444444"/>
        </w:rPr>
        <w:t>)  any tax actually paid by an employer referred to in clause (</w:t>
      </w:r>
      <w:r>
        <w:rPr>
          <w:i/>
          <w:iCs/>
          <w:color w:val="444444"/>
        </w:rPr>
        <w:t>10CC</w:t>
      </w:r>
      <w:r>
        <w:rPr>
          <w:color w:val="444444"/>
        </w:rPr>
        <w:t>) of</w:t>
      </w:r>
      <w:r>
        <w:rPr>
          <w:rStyle w:val="apple-converted-space"/>
          <w:color w:val="444444"/>
        </w:rPr>
        <w:t> </w:t>
      </w:r>
      <w:hyperlink r:id="rId48" w:history="1">
        <w:r>
          <w:rPr>
            <w:rStyle w:val="Hyperlink"/>
            <w:color w:val="663399"/>
          </w:rPr>
          <w:t>section 10</w:t>
        </w:r>
      </w:hyperlink>
      <w:r>
        <w:rPr>
          <w:color w:val="444444"/>
        </w:rPr>
        <w:t>;</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in the case of any firm assessable as such,—</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any payment of salary, bonus, commission or remuneration, by whatever name called (hereinafter referred to as "remuneration") to any partner who is not a working partner;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w:t>
      </w:r>
      <w:r>
        <w:rPr>
          <w:color w:val="444444"/>
        </w:rPr>
        <w:t>)  any payment of remuneration to any partner who is a working partner, or of interest to any partner, which, in either case, is not authorised by, or is not in accordance with, the terms of the partnership deed;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iii</w:t>
      </w:r>
      <w:r>
        <w:rPr>
          <w:color w:val="444444"/>
        </w:rPr>
        <w:t>) any payment of remuneration to any partner who is a working partner, or of interest to any partner, which, in either case, is authorised by, and is in accordance with, the terms of the partnership deed, but which relates to any period (falling prior to the date of such partnership deed) for which such payment was not authorised by, or is not in accordance with, any earlier partnership deed, so, however, that the period of authorisation for such payment by any earlier partnership deed does not cover any period prior to the date of such earlier partnership deed;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lastRenderedPageBreak/>
        <w:t>(</w:t>
      </w:r>
      <w:r>
        <w:rPr>
          <w:i/>
          <w:iCs/>
          <w:color w:val="444444"/>
        </w:rPr>
        <w:t>iv</w:t>
      </w:r>
      <w:r>
        <w:rPr>
          <w:color w:val="444444"/>
        </w:rPr>
        <w:t>)  any payment of interest to any partner which is authorised by, and is in accordance with, the terms of the partnership deed and relates to any period falling after the date of such partnership deed in so far as such amount exceeds the amount calculated at the rate of twelve per cent simple interest per annum; or</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v</w:t>
      </w:r>
      <w:r>
        <w:rPr>
          <w:color w:val="444444"/>
        </w:rPr>
        <w:t>)  any payment of remuneration to any partner who is a working partner, which is authorised by, and is in accordance with, the terms of the partnership deed and relates to any period falling after the date of such partnership deed in so far as the amount of such payment to all the partners during the previous year exceeds the aggregate amount computed as hereunder :—</w:t>
      </w:r>
    </w:p>
    <w:tbl>
      <w:tblPr>
        <w:tblW w:w="5000" w:type="pct"/>
        <w:tblCellMar>
          <w:top w:w="60" w:type="dxa"/>
          <w:left w:w="60" w:type="dxa"/>
          <w:bottom w:w="60" w:type="dxa"/>
          <w:right w:w="60" w:type="dxa"/>
        </w:tblCellMar>
        <w:tblLook w:val="04A0" w:firstRow="1" w:lastRow="0" w:firstColumn="1" w:lastColumn="0" w:noHBand="0" w:noVBand="1"/>
      </w:tblPr>
      <w:tblGrid>
        <w:gridCol w:w="297"/>
        <w:gridCol w:w="3896"/>
        <w:gridCol w:w="4833"/>
      </w:tblGrid>
      <w:tr w:rsidR="00C04649" w:rsidTr="003D734E">
        <w:tc>
          <w:tcPr>
            <w:tcW w:w="165" w:type="pct"/>
            <w:vAlign w:val="center"/>
            <w:hideMark/>
          </w:tcPr>
          <w:p w:rsidR="00C04649" w:rsidRDefault="00C04649" w:rsidP="003D734E">
            <w:pPr>
              <w:spacing w:after="80"/>
              <w:jc w:val="both"/>
            </w:pPr>
            <w:r>
              <w:t> </w:t>
            </w:r>
          </w:p>
        </w:tc>
        <w:tc>
          <w:tcPr>
            <w:tcW w:w="2158" w:type="pct"/>
            <w:hideMark/>
          </w:tcPr>
          <w:p w:rsidR="00C04649" w:rsidRDefault="00C04649" w:rsidP="003D734E">
            <w:pPr>
              <w:pStyle w:val="tx"/>
              <w:spacing w:before="0" w:beforeAutospacing="0" w:after="80" w:afterAutospacing="0"/>
              <w:jc w:val="both"/>
            </w:pPr>
            <w:r>
              <w:t>(</w:t>
            </w:r>
            <w:r>
              <w:rPr>
                <w:i/>
                <w:iCs/>
              </w:rPr>
              <w:t>a</w:t>
            </w:r>
            <w:r>
              <w:t>) on the first Rs. 3,00,000 of the book-profit or in case of a loss</w:t>
            </w:r>
          </w:p>
        </w:tc>
        <w:tc>
          <w:tcPr>
            <w:tcW w:w="2677" w:type="pct"/>
            <w:hideMark/>
          </w:tcPr>
          <w:p w:rsidR="00C04649" w:rsidRDefault="00C04649" w:rsidP="003D734E">
            <w:pPr>
              <w:pStyle w:val="tx"/>
              <w:spacing w:before="0" w:beforeAutospacing="0" w:after="80" w:afterAutospacing="0"/>
              <w:jc w:val="both"/>
            </w:pPr>
            <w:r>
              <w:t>Rs. 1,50,000 or at the  rate of 90 per cent of  the book-profit, which-ever is more;</w:t>
            </w:r>
          </w:p>
        </w:tc>
      </w:tr>
      <w:tr w:rsidR="00C04649" w:rsidTr="003D734E">
        <w:tc>
          <w:tcPr>
            <w:tcW w:w="165" w:type="pct"/>
            <w:vAlign w:val="center"/>
            <w:hideMark/>
          </w:tcPr>
          <w:p w:rsidR="00C04649" w:rsidRDefault="00C04649" w:rsidP="003D734E">
            <w:pPr>
              <w:jc w:val="both"/>
            </w:pPr>
            <w:r>
              <w:t> </w:t>
            </w:r>
          </w:p>
        </w:tc>
        <w:tc>
          <w:tcPr>
            <w:tcW w:w="2158" w:type="pct"/>
            <w:hideMark/>
          </w:tcPr>
          <w:p w:rsidR="00C04649" w:rsidRDefault="00C04649" w:rsidP="003D734E">
            <w:pPr>
              <w:pStyle w:val="tx"/>
              <w:spacing w:before="0" w:beforeAutospacing="0" w:after="80" w:afterAutospacing="0"/>
              <w:jc w:val="both"/>
            </w:pPr>
            <w:r>
              <w:t>(</w:t>
            </w:r>
            <w:r>
              <w:rPr>
                <w:i/>
                <w:iCs/>
              </w:rPr>
              <w:t>b</w:t>
            </w:r>
            <w:r>
              <w:t>) on the balance of the book-profit</w:t>
            </w:r>
          </w:p>
        </w:tc>
        <w:tc>
          <w:tcPr>
            <w:tcW w:w="2677" w:type="pct"/>
            <w:hideMark/>
          </w:tcPr>
          <w:p w:rsidR="00C04649" w:rsidRDefault="00C04649" w:rsidP="003D734E">
            <w:pPr>
              <w:pStyle w:val="tx"/>
              <w:spacing w:before="0" w:beforeAutospacing="0" w:after="80" w:afterAutospacing="0"/>
              <w:jc w:val="both"/>
            </w:pPr>
            <w:r>
              <w:t>at the rate of 60 per cent :</w:t>
            </w:r>
          </w:p>
        </w:tc>
      </w:tr>
    </w:tbl>
    <w:p w:rsidR="00C04649" w:rsidRDefault="00C04649" w:rsidP="00C04649">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color w:val="444444"/>
        </w:rPr>
        <w:t>that in relation to any payment under this clause to the partner during the previous year relevant to the assessment year commencing on the 1st day of April, 1993, the terms of the partnership deed may, at any time during the said previous year, provide for such payment.</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1.</w:t>
      </w:r>
      <w:r>
        <w:rPr>
          <w:color w:val="444444"/>
        </w:rPr>
        <w:t>—Where an individual is a partner in a firm on behalf, or for the benefit, of any other person (such partner and the other person being hereinafter referred to as "partner in a representative capacity" and "person so represented", respectively),—</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interest paid by the firm to such individual otherwise than as partner in a representative capacity, shall not be taken into account for the purposes of this clause;</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ii</w:t>
      </w:r>
      <w:r>
        <w:rPr>
          <w:color w:val="444444"/>
        </w:rPr>
        <w:t>)  interest paid by the firm to such individual as partner in a representative capacity and interest paid by the firm to the person so represented shall be taken into account for the purposes of this clause.</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2.</w:t>
      </w:r>
      <w:r>
        <w:rPr>
          <w:color w:val="444444"/>
        </w:rPr>
        <w:t>—Where an individual is a partner in a firm otherwise than as partner in a representative capacity, interest paid by the firm to such individual shall not be taken into account for the purposes of this clause, if such interest is received by him on behalf, or for the benefit, of any other person.</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3.</w:t>
      </w:r>
      <w:r>
        <w:rPr>
          <w:color w:val="444444"/>
        </w:rPr>
        <w:t>—For the purposes of this clause, "book-profit" means the net profit, as shown in the profit and loss account for the relevant previous year, computed in the manner laid down in Chapter IV-D as increased by the aggregate amount of the remuneration paid or payable to all the partners of the firm if such amount has been deducted while computing the net profit.</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4.</w:t>
      </w:r>
      <w:r>
        <w:rPr>
          <w:color w:val="444444"/>
        </w:rPr>
        <w:t>—For the purposes of this clause, "working partner" means an individual who is actively engaged in conducting the affairs of the business or profession of the firm of which he is a partner;</w:t>
      </w:r>
    </w:p>
    <w:p w:rsidR="00C04649" w:rsidRDefault="00C04649" w:rsidP="00C04649">
      <w:pPr>
        <w:pStyle w:val="indent1"/>
        <w:shd w:val="clear" w:color="auto" w:fill="FFFFFF"/>
        <w:spacing w:before="0" w:beforeAutospacing="0" w:after="80" w:afterAutospacing="0"/>
        <w:ind w:left="567" w:hanging="454"/>
        <w:jc w:val="both"/>
        <w:rPr>
          <w:color w:val="444444"/>
        </w:rPr>
      </w:pPr>
      <w:r>
        <w:rPr>
          <w:color w:val="444444"/>
        </w:rPr>
        <w:lastRenderedPageBreak/>
        <w:t>(</w:t>
      </w:r>
      <w:r>
        <w:rPr>
          <w:i/>
          <w:iCs/>
          <w:color w:val="444444"/>
        </w:rPr>
        <w:t>ba</w:t>
      </w:r>
      <w:r>
        <w:rPr>
          <w:color w:val="444444"/>
        </w:rPr>
        <w:t>) in the case of an association of persons or body of individuals [other than a company or a co-operative society or a society registered under the Societies Registration Act, 1860 (21 of 1860), or under any law corresponding to that Act in force in any part of India], any payment of interest, salary, bonus, commission or remuneration, by whatever name called, made by such association or body to a member of such association or body.</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1.</w:t>
      </w:r>
      <w:r>
        <w:rPr>
          <w:color w:val="444444"/>
        </w:rPr>
        <w:t>—Where interest is paid by an association or body to any member thereof who has also paid interest to the association or body, the amount of interest to be disallowed under this clause shall be limited to the amount by which the payment of interest by the association or body to the member exceeds the payment of interest by the member to the association or body.</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2.</w:t>
      </w:r>
      <w:r>
        <w:rPr>
          <w:color w:val="444444"/>
        </w:rPr>
        <w:t>—Where an individual is a member of an association or body on behalf, or for the benefit, of any other person (such member and the other person being hereinafter referred to as "member in a representative capacity" and "person so represented", respectively),—</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interest paid by the association or body to such individual or by such individual to the association or body otherwise than as member in a representative capacity, shall not be taken into account for the purposes of this clause;</w:t>
      </w:r>
    </w:p>
    <w:p w:rsidR="00C04649" w:rsidRDefault="00C04649" w:rsidP="00C04649">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w:t>
      </w:r>
      <w:r>
        <w:rPr>
          <w:color w:val="444444"/>
        </w:rPr>
        <w:t>)  interest paid by the association or body to such individual or by such individual to the association or body as member in a representative capacity and interest paid by the association or body to the person so represented or by the person so represented to the association or body, shall be taken into account for the purposes of this clause.</w:t>
      </w:r>
    </w:p>
    <w:p w:rsidR="00C04649" w:rsidRDefault="00C04649" w:rsidP="00C04649">
      <w:pPr>
        <w:pStyle w:val="indent1"/>
        <w:shd w:val="clear" w:color="auto" w:fill="FFFFFF"/>
        <w:spacing w:before="0" w:beforeAutospacing="0" w:after="80" w:afterAutospacing="0"/>
        <w:ind w:left="567"/>
        <w:jc w:val="both"/>
        <w:rPr>
          <w:color w:val="444444"/>
        </w:rPr>
      </w:pPr>
      <w:r>
        <w:rPr>
          <w:i/>
          <w:iCs/>
          <w:color w:val="444444"/>
        </w:rPr>
        <w:t>Explanation 3.</w:t>
      </w:r>
      <w:r>
        <w:rPr>
          <w:color w:val="444444"/>
        </w:rPr>
        <w:t>—Where an individual is a member of an association or body otherwise than as member in a representative capacity, interest paid by the association or body to such individual shall not be taken into account for the purposes of this clause, if such interest is received by him on behalf, or for the benefit, of any other person.</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w:t>
      </w:r>
      <w:r>
        <w:rPr>
          <w:i/>
          <w:iCs/>
          <w:color w:val="444444"/>
        </w:rPr>
        <w:t>Omitted by the Direct Tax Laws (Amendment) Act, 1987, w.e.f. 1-4-1989. Earlier, it was amended by the Finance Act, 1963, w.e.f. 1-4-1963, Finance Act, 1964, w.e.f. 1-4-1964, Finance Act, 1965, w.e.f. 1-4-1965, Finance Act, 1968, w.e.f. 1-4-1969, Finance (No. 2) Act, 1971, w.e.f. 1-4-1972, Finance Act, 1984, w.e.f. 1-4-1985 and Direct Tax Laws (Amendment) Act, 1987, w.e.f. 1-4-1988.</w:t>
      </w:r>
      <w:r>
        <w:rPr>
          <w:color w:val="444444"/>
        </w:rPr>
        <w:t>]</w:t>
      </w:r>
    </w:p>
    <w:p w:rsidR="00C04649" w:rsidRDefault="00C04649" w:rsidP="00C04649">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w:t>
      </w:r>
      <w:r>
        <w:rPr>
          <w:i/>
          <w:iCs/>
          <w:color w:val="444444"/>
        </w:rPr>
        <w:t>Omitted by the Finance Act, 1988, w.e.f. 1-4-1989.</w:t>
      </w:r>
      <w:r>
        <w:rPr>
          <w:color w:val="444444"/>
        </w:rPr>
        <w:t>]</w:t>
      </w:r>
    </w:p>
    <w:p w:rsidR="00C04649" w:rsidRDefault="00C04649" w:rsidP="00C04649">
      <w:pPr>
        <w:pStyle w:val="tx"/>
        <w:shd w:val="clear" w:color="auto" w:fill="FFFFFF"/>
        <w:spacing w:before="0" w:beforeAutospacing="0" w:after="80" w:afterAutospacing="0"/>
        <w:jc w:val="both"/>
        <w:rPr>
          <w:color w:val="444444"/>
        </w:rPr>
      </w:pPr>
    </w:p>
    <w:p w:rsidR="00C04649" w:rsidRDefault="00C04649" w:rsidP="00C04649">
      <w:pPr>
        <w:pStyle w:val="Heading3"/>
        <w:shd w:val="clear" w:color="auto" w:fill="F7F7F7"/>
        <w:jc w:val="center"/>
        <w:rPr>
          <w:color w:val="7C7C7C"/>
          <w:sz w:val="20"/>
          <w:szCs w:val="20"/>
        </w:rPr>
      </w:pPr>
      <w:r>
        <w:rPr>
          <w:rFonts w:ascii="Segoe UI Semilight" w:hAnsi="Segoe UI Semilight" w:cs="Segoe UI Semilight"/>
          <w:color w:val="7C7C7C"/>
          <w:sz w:val="21"/>
          <w:szCs w:val="21"/>
        </w:rPr>
        <w:t>Section - 44ADA, Income-tax Act, 1961-2016</w:t>
      </w:r>
    </w:p>
    <w:p w:rsidR="00C04649" w:rsidRDefault="00C04649" w:rsidP="00C04649">
      <w:pPr>
        <w:pStyle w:val="NormalWeb"/>
        <w:shd w:val="clear" w:color="auto" w:fill="FFFFFF"/>
        <w:spacing w:before="0" w:beforeAutospacing="0" w:after="80" w:afterAutospacing="0"/>
        <w:ind w:left="60" w:right="60"/>
        <w:jc w:val="both"/>
        <w:rPr>
          <w:color w:val="444444"/>
        </w:rPr>
      </w:pPr>
      <w:r>
        <w:rPr>
          <w:b/>
          <w:bCs/>
          <w:color w:val="444444"/>
        </w:rPr>
        <w:t>The following section 44ADA shall be inserted after section 44AD by the Finance Act, 2016, w.e.f. 1-4-2017 :</w:t>
      </w:r>
    </w:p>
    <w:p w:rsidR="00C04649" w:rsidRDefault="00C04649" w:rsidP="00C04649">
      <w:pPr>
        <w:pStyle w:val="NormalWeb"/>
        <w:shd w:val="clear" w:color="auto" w:fill="FFFFFF"/>
        <w:spacing w:before="0" w:beforeAutospacing="0" w:after="80" w:afterAutospacing="0"/>
        <w:ind w:left="60" w:right="60"/>
        <w:jc w:val="both"/>
        <w:rPr>
          <w:color w:val="444444"/>
        </w:rPr>
      </w:pPr>
      <w:r>
        <w:rPr>
          <w:b/>
          <w:bCs/>
          <w:color w:val="444444"/>
        </w:rPr>
        <w:t>Special provision for computing profits and gains of profession on presumptive basis.</w:t>
      </w:r>
    </w:p>
    <w:p w:rsidR="00C04649" w:rsidRDefault="00C04649" w:rsidP="00C04649">
      <w:pPr>
        <w:pStyle w:val="NormalWeb"/>
        <w:shd w:val="clear" w:color="auto" w:fill="FFFFFF"/>
        <w:spacing w:before="0" w:beforeAutospacing="0" w:after="80" w:afterAutospacing="0"/>
        <w:ind w:left="60" w:right="60"/>
        <w:jc w:val="both"/>
        <w:rPr>
          <w:color w:val="444444"/>
        </w:rPr>
      </w:pPr>
      <w:r>
        <w:rPr>
          <w:b/>
          <w:bCs/>
          <w:color w:val="444444"/>
        </w:rPr>
        <w:t>44ADA.</w:t>
      </w:r>
      <w:r>
        <w:rPr>
          <w:rStyle w:val="apple-converted-space"/>
          <w:b/>
          <w:bCs/>
          <w:color w:val="444444"/>
        </w:rPr>
        <w:t> </w:t>
      </w:r>
      <w:r>
        <w:rPr>
          <w:i/>
          <w:iCs/>
          <w:color w:val="444444"/>
        </w:rPr>
        <w:t>(1) Notwithstanding anything contained in</w:t>
      </w:r>
      <w:r>
        <w:rPr>
          <w:rStyle w:val="apple-converted-space"/>
          <w:i/>
          <w:iCs/>
          <w:color w:val="444444"/>
        </w:rPr>
        <w:t> </w:t>
      </w:r>
      <w:hyperlink r:id="rId49" w:history="1">
        <w:r>
          <w:rPr>
            <w:rStyle w:val="Hyperlink"/>
            <w:i/>
            <w:iCs/>
            <w:color w:val="663399"/>
          </w:rPr>
          <w:t>sections 28</w:t>
        </w:r>
      </w:hyperlink>
      <w:r>
        <w:rPr>
          <w:rStyle w:val="apple-converted-space"/>
          <w:i/>
          <w:iCs/>
          <w:color w:val="444444"/>
        </w:rPr>
        <w:t> </w:t>
      </w:r>
      <w:r>
        <w:rPr>
          <w:i/>
          <w:iCs/>
          <w:color w:val="444444"/>
        </w:rPr>
        <w:t>to</w:t>
      </w:r>
      <w:r>
        <w:rPr>
          <w:rStyle w:val="apple-converted-space"/>
          <w:i/>
          <w:iCs/>
          <w:color w:val="444444"/>
        </w:rPr>
        <w:t> </w:t>
      </w:r>
      <w:hyperlink r:id="rId50" w:history="1">
        <w:r>
          <w:rPr>
            <w:rStyle w:val="Hyperlink"/>
            <w:i/>
            <w:iCs/>
            <w:color w:val="663399"/>
          </w:rPr>
          <w:t>43C</w:t>
        </w:r>
      </w:hyperlink>
      <w:r>
        <w:rPr>
          <w:i/>
          <w:iCs/>
          <w:color w:val="444444"/>
        </w:rPr>
        <w:t xml:space="preserve">, in the case of an assessee, being a resident in India, who is engaged in a profession referred to in sub-section </w:t>
      </w:r>
      <w:r>
        <w:rPr>
          <w:i/>
          <w:iCs/>
          <w:color w:val="444444"/>
        </w:rPr>
        <w:lastRenderedPageBreak/>
        <w:t>(1) of</w:t>
      </w:r>
      <w:r>
        <w:rPr>
          <w:rStyle w:val="apple-converted-space"/>
          <w:i/>
          <w:iCs/>
          <w:color w:val="444444"/>
        </w:rPr>
        <w:t> </w:t>
      </w:r>
      <w:hyperlink r:id="rId51" w:history="1">
        <w:r>
          <w:rPr>
            <w:rStyle w:val="Hyperlink"/>
            <w:i/>
            <w:iCs/>
            <w:color w:val="663399"/>
          </w:rPr>
          <w:t>section 44AA</w:t>
        </w:r>
      </w:hyperlink>
      <w:r>
        <w:rPr>
          <w:rStyle w:val="apple-converted-space"/>
          <w:i/>
          <w:iCs/>
          <w:color w:val="444444"/>
        </w:rPr>
        <w:t> </w:t>
      </w:r>
      <w:r>
        <w:rPr>
          <w:i/>
          <w:iCs/>
          <w:color w:val="444444"/>
        </w:rPr>
        <w:t>and whose total gross receipts do not exceed fifty lakh rupees in a previous year, a sum equal to fifty per cent of the total gross receipts of the assessee in the previous year on account of such profession or, as the case may be, a sum higher than the aforesaid sum claimed to have been earned by the assessee, shall be deemed to be the profits and gains of such profession chargeable to tax under the head "Profits and gains of business or profession".</w:t>
      </w:r>
    </w:p>
    <w:p w:rsidR="00C04649" w:rsidRDefault="00C04649" w:rsidP="00C04649">
      <w:pPr>
        <w:pStyle w:val="NormalWeb"/>
        <w:shd w:val="clear" w:color="auto" w:fill="FFFFFF"/>
        <w:spacing w:before="0" w:beforeAutospacing="0" w:after="80" w:afterAutospacing="0"/>
        <w:ind w:left="60" w:right="60"/>
        <w:jc w:val="both"/>
        <w:rPr>
          <w:color w:val="444444"/>
        </w:rPr>
      </w:pPr>
      <w:r>
        <w:rPr>
          <w:i/>
          <w:iCs/>
          <w:color w:val="444444"/>
        </w:rPr>
        <w:t>(2) Any deduction allowable under the provisions of</w:t>
      </w:r>
      <w:r>
        <w:rPr>
          <w:rStyle w:val="apple-converted-space"/>
          <w:i/>
          <w:iCs/>
          <w:color w:val="444444"/>
        </w:rPr>
        <w:t> </w:t>
      </w:r>
      <w:hyperlink r:id="rId52" w:history="1">
        <w:r>
          <w:rPr>
            <w:rStyle w:val="Hyperlink"/>
            <w:i/>
            <w:iCs/>
            <w:color w:val="663399"/>
          </w:rPr>
          <w:t>sections 30</w:t>
        </w:r>
      </w:hyperlink>
      <w:r>
        <w:rPr>
          <w:rStyle w:val="apple-converted-space"/>
          <w:i/>
          <w:iCs/>
          <w:color w:val="444444"/>
        </w:rPr>
        <w:t> </w:t>
      </w:r>
      <w:r>
        <w:rPr>
          <w:i/>
          <w:iCs/>
          <w:color w:val="444444"/>
        </w:rPr>
        <w:t>to</w:t>
      </w:r>
      <w:r>
        <w:rPr>
          <w:rStyle w:val="apple-converted-space"/>
          <w:i/>
          <w:iCs/>
          <w:color w:val="444444"/>
        </w:rPr>
        <w:t> </w:t>
      </w:r>
      <w:hyperlink r:id="rId53" w:history="1">
        <w:r>
          <w:rPr>
            <w:rStyle w:val="Hyperlink"/>
            <w:i/>
            <w:iCs/>
            <w:color w:val="663399"/>
          </w:rPr>
          <w:t>38</w:t>
        </w:r>
      </w:hyperlink>
      <w:r>
        <w:rPr>
          <w:rStyle w:val="apple-converted-space"/>
          <w:i/>
          <w:iCs/>
          <w:color w:val="444444"/>
        </w:rPr>
        <w:t> </w:t>
      </w:r>
      <w:r>
        <w:rPr>
          <w:i/>
          <w:iCs/>
          <w:color w:val="444444"/>
        </w:rPr>
        <w:t>shall, for the purposes of sub-section (1), be deemed to have been already given full effect to and no further deduction under those sections shall be allowed.</w:t>
      </w:r>
    </w:p>
    <w:p w:rsidR="00C04649" w:rsidRDefault="00C04649" w:rsidP="00C04649">
      <w:pPr>
        <w:pStyle w:val="NormalWeb"/>
        <w:shd w:val="clear" w:color="auto" w:fill="FFFFFF"/>
        <w:spacing w:before="0" w:beforeAutospacing="0" w:after="80" w:afterAutospacing="0"/>
        <w:ind w:left="60" w:right="60"/>
        <w:jc w:val="both"/>
        <w:rPr>
          <w:color w:val="444444"/>
        </w:rPr>
      </w:pPr>
      <w:r>
        <w:rPr>
          <w:i/>
          <w:iCs/>
          <w:color w:val="444444"/>
        </w:rPr>
        <w:t>(3) The written down value of any asset used for the purposes of profession shall be deemed to have been calculated as if the assessee had claimed and had been actually allowed the deduction in respect of the depreciation for each of the relevant assessment years.</w:t>
      </w:r>
    </w:p>
    <w:p w:rsidR="00C04649" w:rsidRDefault="00C04649" w:rsidP="00C04649">
      <w:pPr>
        <w:pStyle w:val="NormalWeb"/>
        <w:shd w:val="clear" w:color="auto" w:fill="FFFFFF"/>
        <w:spacing w:before="0" w:beforeAutospacing="0" w:after="80" w:afterAutospacing="0"/>
        <w:ind w:left="60" w:right="60"/>
        <w:jc w:val="both"/>
        <w:rPr>
          <w:color w:val="444444"/>
        </w:rPr>
      </w:pPr>
      <w:r>
        <w:rPr>
          <w:i/>
          <w:iCs/>
          <w:color w:val="444444"/>
        </w:rPr>
        <w:t>(4) Notwithstanding anything contained in the foregoing provisions of this section, an assessee who claims that his profits and gains from the profession are lower than the profits and gains specified in sub-section (1) and whose total income exceeds the maximum amount which is not chargeable to income-tax, shall be required to keep and maintain such books of account and other documents as required under sub-section (1) of</w:t>
      </w:r>
      <w:r>
        <w:rPr>
          <w:rStyle w:val="apple-converted-space"/>
          <w:i/>
          <w:iCs/>
          <w:color w:val="444444"/>
        </w:rPr>
        <w:t> </w:t>
      </w:r>
      <w:hyperlink r:id="rId54" w:history="1">
        <w:r>
          <w:rPr>
            <w:rStyle w:val="Hyperlink"/>
            <w:i/>
            <w:iCs/>
            <w:color w:val="663399"/>
          </w:rPr>
          <w:t>section 44AA</w:t>
        </w:r>
      </w:hyperlink>
      <w:r>
        <w:rPr>
          <w:rStyle w:val="apple-converted-space"/>
          <w:i/>
          <w:iCs/>
          <w:color w:val="444444"/>
        </w:rPr>
        <w:t> </w:t>
      </w:r>
      <w:r>
        <w:rPr>
          <w:i/>
          <w:iCs/>
          <w:color w:val="444444"/>
        </w:rPr>
        <w:t>and get them audited and furnish a report of such audit as required under</w:t>
      </w:r>
      <w:r>
        <w:rPr>
          <w:rStyle w:val="apple-converted-space"/>
          <w:i/>
          <w:iCs/>
          <w:color w:val="444444"/>
        </w:rPr>
        <w:t> </w:t>
      </w:r>
      <w:hyperlink r:id="rId55" w:history="1">
        <w:r>
          <w:rPr>
            <w:rStyle w:val="Hyperlink"/>
            <w:i/>
            <w:iCs/>
            <w:color w:val="663399"/>
          </w:rPr>
          <w:t>section 44AB</w:t>
        </w:r>
      </w:hyperlink>
      <w:r>
        <w:rPr>
          <w:i/>
          <w:iCs/>
          <w:color w:val="444444"/>
        </w:rPr>
        <w:t>.</w:t>
      </w:r>
    </w:p>
    <w:p w:rsidR="00C04649" w:rsidRDefault="00C04649" w:rsidP="00C04649">
      <w:pPr>
        <w:pStyle w:val="indent1a"/>
        <w:shd w:val="clear" w:color="auto" w:fill="FFFFFF"/>
        <w:spacing w:before="0" w:beforeAutospacing="0" w:after="80" w:afterAutospacing="0"/>
        <w:rPr>
          <w:rFonts w:ascii="Helvetica" w:hAnsi="Helvetica" w:cs="Helvetica"/>
          <w:color w:val="333333"/>
          <w:sz w:val="23"/>
          <w:szCs w:val="23"/>
          <w:shd w:val="clear" w:color="auto" w:fill="FFFFFF"/>
        </w:rPr>
      </w:pPr>
    </w:p>
    <w:p w:rsidR="00C04649" w:rsidRDefault="00C04649" w:rsidP="00C04649">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DF49F7" w:rsidRPr="00C04649" w:rsidRDefault="00DF49F7" w:rsidP="00C04649"/>
    <w:sectPr w:rsidR="00DF49F7" w:rsidRPr="00C04649" w:rsidSect="0026788D">
      <w:headerReference w:type="default" r:id="rId56"/>
      <w:footerReference w:type="default" r:id="rId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276" w:rsidRDefault="00237276" w:rsidP="00FC7149">
      <w:pPr>
        <w:spacing w:after="0" w:line="240" w:lineRule="auto"/>
      </w:pPr>
      <w:r>
        <w:separator/>
      </w:r>
    </w:p>
  </w:endnote>
  <w:endnote w:type="continuationSeparator" w:id="0">
    <w:p w:rsidR="00237276" w:rsidRDefault="00237276"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C04649" w:rsidRPr="00C04649">
      <w:rPr>
        <w:rFonts w:asciiTheme="majorHAnsi" w:eastAsiaTheme="majorEastAsia" w:hAnsiTheme="majorHAnsi" w:cstheme="majorBidi"/>
        <w:noProof/>
        <w:color w:val="5B9BD5" w:themeColor="accent1"/>
        <w:sz w:val="20"/>
        <w:szCs w:val="20"/>
      </w:rPr>
      <w:t>1</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276" w:rsidRDefault="00237276" w:rsidP="00FC7149">
      <w:pPr>
        <w:spacing w:after="0" w:line="240" w:lineRule="auto"/>
      </w:pPr>
      <w:r>
        <w:separator/>
      </w:r>
    </w:p>
  </w:footnote>
  <w:footnote w:type="continuationSeparator" w:id="0">
    <w:p w:rsidR="00237276" w:rsidRDefault="00237276"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6B16"/>
    <w:multiLevelType w:val="multilevel"/>
    <w:tmpl w:val="CE62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D7B2E"/>
    <w:multiLevelType w:val="hybridMultilevel"/>
    <w:tmpl w:val="CE366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7B2988"/>
    <w:multiLevelType w:val="hybridMultilevel"/>
    <w:tmpl w:val="20B4FF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391145"/>
    <w:multiLevelType w:val="multilevel"/>
    <w:tmpl w:val="8E9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2205B8"/>
    <w:multiLevelType w:val="hybridMultilevel"/>
    <w:tmpl w:val="3F4EDDDE"/>
    <w:lvl w:ilvl="0" w:tplc="5D9C8A0C">
      <w:start w:val="1"/>
      <w:numFmt w:val="decimal"/>
      <w:lvlText w:val="(%1)"/>
      <w:lvlJc w:val="left"/>
      <w:pPr>
        <w:ind w:left="1080" w:hanging="360"/>
      </w:pPr>
      <w:rPr>
        <w:rFonts w:hint="default"/>
        <w:i/>
      </w:rPr>
    </w:lvl>
    <w:lvl w:ilvl="1" w:tplc="40090019" w:tentative="1">
      <w:start w:val="1"/>
      <w:numFmt w:val="lowerLetter"/>
      <w:lvlText w:val="%2."/>
      <w:lvlJc w:val="left"/>
      <w:pPr>
        <w:ind w:left="1247" w:hanging="360"/>
      </w:pPr>
    </w:lvl>
    <w:lvl w:ilvl="2" w:tplc="4009001B" w:tentative="1">
      <w:start w:val="1"/>
      <w:numFmt w:val="lowerRoman"/>
      <w:lvlText w:val="%3."/>
      <w:lvlJc w:val="right"/>
      <w:pPr>
        <w:ind w:left="1967" w:hanging="180"/>
      </w:pPr>
    </w:lvl>
    <w:lvl w:ilvl="3" w:tplc="4009000F" w:tentative="1">
      <w:start w:val="1"/>
      <w:numFmt w:val="decimal"/>
      <w:lvlText w:val="%4."/>
      <w:lvlJc w:val="left"/>
      <w:pPr>
        <w:ind w:left="2687" w:hanging="360"/>
      </w:pPr>
    </w:lvl>
    <w:lvl w:ilvl="4" w:tplc="40090019" w:tentative="1">
      <w:start w:val="1"/>
      <w:numFmt w:val="lowerLetter"/>
      <w:lvlText w:val="%5."/>
      <w:lvlJc w:val="left"/>
      <w:pPr>
        <w:ind w:left="3407" w:hanging="360"/>
      </w:pPr>
    </w:lvl>
    <w:lvl w:ilvl="5" w:tplc="4009001B" w:tentative="1">
      <w:start w:val="1"/>
      <w:numFmt w:val="lowerRoman"/>
      <w:lvlText w:val="%6."/>
      <w:lvlJc w:val="right"/>
      <w:pPr>
        <w:ind w:left="4127" w:hanging="180"/>
      </w:pPr>
    </w:lvl>
    <w:lvl w:ilvl="6" w:tplc="4009000F" w:tentative="1">
      <w:start w:val="1"/>
      <w:numFmt w:val="decimal"/>
      <w:lvlText w:val="%7."/>
      <w:lvlJc w:val="left"/>
      <w:pPr>
        <w:ind w:left="4847" w:hanging="360"/>
      </w:pPr>
    </w:lvl>
    <w:lvl w:ilvl="7" w:tplc="40090019" w:tentative="1">
      <w:start w:val="1"/>
      <w:numFmt w:val="lowerLetter"/>
      <w:lvlText w:val="%8."/>
      <w:lvlJc w:val="left"/>
      <w:pPr>
        <w:ind w:left="5567" w:hanging="360"/>
      </w:pPr>
    </w:lvl>
    <w:lvl w:ilvl="8" w:tplc="4009001B" w:tentative="1">
      <w:start w:val="1"/>
      <w:numFmt w:val="lowerRoman"/>
      <w:lvlText w:val="%9."/>
      <w:lvlJc w:val="right"/>
      <w:pPr>
        <w:ind w:left="6287" w:hanging="180"/>
      </w:pPr>
    </w:lvl>
  </w:abstractNum>
  <w:abstractNum w:abstractNumId="5" w15:restartNumberingAfterBreak="0">
    <w:nsid w:val="34100D7A"/>
    <w:multiLevelType w:val="hybridMultilevel"/>
    <w:tmpl w:val="7E3C504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35536624"/>
    <w:multiLevelType w:val="hybridMultilevel"/>
    <w:tmpl w:val="59BA950A"/>
    <w:lvl w:ilvl="0" w:tplc="4009001B">
      <w:start w:val="1"/>
      <w:numFmt w:val="lowerRoman"/>
      <w:lvlText w:val="%1."/>
      <w:lvlJc w:val="righ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7" w15:restartNumberingAfterBreak="0">
    <w:nsid w:val="3CAF41F5"/>
    <w:multiLevelType w:val="multilevel"/>
    <w:tmpl w:val="06A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B947F9"/>
    <w:multiLevelType w:val="hybridMultilevel"/>
    <w:tmpl w:val="1BEEDA32"/>
    <w:lvl w:ilvl="0" w:tplc="4009000F">
      <w:start w:val="1"/>
      <w:numFmt w:val="decimal"/>
      <w:lvlText w:val="%1."/>
      <w:lvlJc w:val="left"/>
      <w:pPr>
        <w:ind w:left="720" w:hanging="360"/>
      </w:pPr>
    </w:lvl>
    <w:lvl w:ilvl="1" w:tplc="EBFA6F6C">
      <w:start w:val="22"/>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AAD192C"/>
    <w:multiLevelType w:val="multilevel"/>
    <w:tmpl w:val="D17C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53513C1"/>
    <w:multiLevelType w:val="multilevel"/>
    <w:tmpl w:val="2BCE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B1205D"/>
    <w:multiLevelType w:val="hybridMultilevel"/>
    <w:tmpl w:val="7E8AEA00"/>
    <w:lvl w:ilvl="0" w:tplc="4009000F">
      <w:start w:val="1"/>
      <w:numFmt w:val="decimal"/>
      <w:lvlText w:val="%1."/>
      <w:lvlJc w:val="lef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13" w15:restartNumberingAfterBreak="0">
    <w:nsid w:val="79562069"/>
    <w:multiLevelType w:val="hybridMultilevel"/>
    <w:tmpl w:val="69BCEC90"/>
    <w:lvl w:ilvl="0" w:tplc="5D9C8A0C">
      <w:start w:val="1"/>
      <w:numFmt w:val="decimal"/>
      <w:lvlText w:val="(%1)"/>
      <w:lvlJc w:val="left"/>
      <w:pPr>
        <w:ind w:left="1273" w:hanging="360"/>
      </w:pPr>
      <w:rPr>
        <w:rFonts w:hint="default"/>
        <w:i/>
      </w:rPr>
    </w:lvl>
    <w:lvl w:ilvl="1" w:tplc="40090019" w:tentative="1">
      <w:start w:val="1"/>
      <w:numFmt w:val="lowerLetter"/>
      <w:lvlText w:val="%2."/>
      <w:lvlJc w:val="left"/>
      <w:pPr>
        <w:ind w:left="1993" w:hanging="360"/>
      </w:pPr>
    </w:lvl>
    <w:lvl w:ilvl="2" w:tplc="4009001B" w:tentative="1">
      <w:start w:val="1"/>
      <w:numFmt w:val="lowerRoman"/>
      <w:lvlText w:val="%3."/>
      <w:lvlJc w:val="right"/>
      <w:pPr>
        <w:ind w:left="2713" w:hanging="180"/>
      </w:pPr>
    </w:lvl>
    <w:lvl w:ilvl="3" w:tplc="4009000F" w:tentative="1">
      <w:start w:val="1"/>
      <w:numFmt w:val="decimal"/>
      <w:lvlText w:val="%4."/>
      <w:lvlJc w:val="left"/>
      <w:pPr>
        <w:ind w:left="3433" w:hanging="360"/>
      </w:pPr>
    </w:lvl>
    <w:lvl w:ilvl="4" w:tplc="40090019" w:tentative="1">
      <w:start w:val="1"/>
      <w:numFmt w:val="lowerLetter"/>
      <w:lvlText w:val="%5."/>
      <w:lvlJc w:val="left"/>
      <w:pPr>
        <w:ind w:left="4153" w:hanging="360"/>
      </w:pPr>
    </w:lvl>
    <w:lvl w:ilvl="5" w:tplc="4009001B" w:tentative="1">
      <w:start w:val="1"/>
      <w:numFmt w:val="lowerRoman"/>
      <w:lvlText w:val="%6."/>
      <w:lvlJc w:val="right"/>
      <w:pPr>
        <w:ind w:left="4873" w:hanging="180"/>
      </w:pPr>
    </w:lvl>
    <w:lvl w:ilvl="6" w:tplc="4009000F" w:tentative="1">
      <w:start w:val="1"/>
      <w:numFmt w:val="decimal"/>
      <w:lvlText w:val="%7."/>
      <w:lvlJc w:val="left"/>
      <w:pPr>
        <w:ind w:left="5593" w:hanging="360"/>
      </w:pPr>
    </w:lvl>
    <w:lvl w:ilvl="7" w:tplc="40090019" w:tentative="1">
      <w:start w:val="1"/>
      <w:numFmt w:val="lowerLetter"/>
      <w:lvlText w:val="%8."/>
      <w:lvlJc w:val="left"/>
      <w:pPr>
        <w:ind w:left="6313" w:hanging="360"/>
      </w:pPr>
    </w:lvl>
    <w:lvl w:ilvl="8" w:tplc="4009001B" w:tentative="1">
      <w:start w:val="1"/>
      <w:numFmt w:val="lowerRoman"/>
      <w:lvlText w:val="%9."/>
      <w:lvlJc w:val="right"/>
      <w:pPr>
        <w:ind w:left="7033" w:hanging="180"/>
      </w:pPr>
    </w:lvl>
  </w:abstractNum>
  <w:abstractNum w:abstractNumId="14" w15:restartNumberingAfterBreak="0">
    <w:nsid w:val="7ACB0588"/>
    <w:multiLevelType w:val="multilevel"/>
    <w:tmpl w:val="9EA0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num>
  <w:num w:numId="3">
    <w:abstractNumId w:val="2"/>
  </w:num>
  <w:num w:numId="4">
    <w:abstractNumId w:val="1"/>
  </w:num>
  <w:num w:numId="5">
    <w:abstractNumId w:val="9"/>
  </w:num>
  <w:num w:numId="6">
    <w:abstractNumId w:val="14"/>
  </w:num>
  <w:num w:numId="7">
    <w:abstractNumId w:val="11"/>
  </w:num>
  <w:num w:numId="8">
    <w:abstractNumId w:val="13"/>
  </w:num>
  <w:num w:numId="9">
    <w:abstractNumId w:val="7"/>
  </w:num>
  <w:num w:numId="10">
    <w:abstractNumId w:val="3"/>
  </w:num>
  <w:num w:numId="11">
    <w:abstractNumId w:val="4"/>
  </w:num>
  <w:num w:numId="12">
    <w:abstractNumId w:val="12"/>
  </w:num>
  <w:num w:numId="13">
    <w:abstractNumId w:val="6"/>
  </w:num>
  <w:num w:numId="14">
    <w:abstractNumId w:val="8"/>
  </w:num>
  <w:num w:numId="15">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2B88"/>
    <w:rsid w:val="000C4734"/>
    <w:rsid w:val="001025DF"/>
    <w:rsid w:val="0011518C"/>
    <w:rsid w:val="00115B0F"/>
    <w:rsid w:val="001310EB"/>
    <w:rsid w:val="001323D0"/>
    <w:rsid w:val="001473F6"/>
    <w:rsid w:val="00151D48"/>
    <w:rsid w:val="001845EF"/>
    <w:rsid w:val="00185718"/>
    <w:rsid w:val="00193AA7"/>
    <w:rsid w:val="001D59BC"/>
    <w:rsid w:val="001F025E"/>
    <w:rsid w:val="002100B7"/>
    <w:rsid w:val="002201EE"/>
    <w:rsid w:val="00224487"/>
    <w:rsid w:val="002250EB"/>
    <w:rsid w:val="002370D8"/>
    <w:rsid w:val="00237276"/>
    <w:rsid w:val="0026788D"/>
    <w:rsid w:val="002A38EE"/>
    <w:rsid w:val="002A4D70"/>
    <w:rsid w:val="002B5362"/>
    <w:rsid w:val="002B5B84"/>
    <w:rsid w:val="002C5492"/>
    <w:rsid w:val="002D6903"/>
    <w:rsid w:val="002E7DCB"/>
    <w:rsid w:val="002F3502"/>
    <w:rsid w:val="00330ED7"/>
    <w:rsid w:val="0033593E"/>
    <w:rsid w:val="00386C6F"/>
    <w:rsid w:val="00397E19"/>
    <w:rsid w:val="003E7246"/>
    <w:rsid w:val="00456963"/>
    <w:rsid w:val="00472DF2"/>
    <w:rsid w:val="00480514"/>
    <w:rsid w:val="004924D4"/>
    <w:rsid w:val="004949B9"/>
    <w:rsid w:val="00495941"/>
    <w:rsid w:val="004D733A"/>
    <w:rsid w:val="00516F8B"/>
    <w:rsid w:val="005274F5"/>
    <w:rsid w:val="0057375F"/>
    <w:rsid w:val="00595CAE"/>
    <w:rsid w:val="005B257C"/>
    <w:rsid w:val="005B3992"/>
    <w:rsid w:val="00640150"/>
    <w:rsid w:val="00660255"/>
    <w:rsid w:val="00663A1C"/>
    <w:rsid w:val="006C6A21"/>
    <w:rsid w:val="006D0071"/>
    <w:rsid w:val="00716A32"/>
    <w:rsid w:val="00726005"/>
    <w:rsid w:val="00751ECB"/>
    <w:rsid w:val="00794C97"/>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5D3D"/>
    <w:rsid w:val="009465A4"/>
    <w:rsid w:val="00947D80"/>
    <w:rsid w:val="00947EDE"/>
    <w:rsid w:val="00964DFF"/>
    <w:rsid w:val="00966713"/>
    <w:rsid w:val="00994C3F"/>
    <w:rsid w:val="009B7A3E"/>
    <w:rsid w:val="009C7B0F"/>
    <w:rsid w:val="009D0E91"/>
    <w:rsid w:val="009F6D2F"/>
    <w:rsid w:val="00A038BC"/>
    <w:rsid w:val="00A30D69"/>
    <w:rsid w:val="00A317BC"/>
    <w:rsid w:val="00A81B38"/>
    <w:rsid w:val="00A84008"/>
    <w:rsid w:val="00A84FE2"/>
    <w:rsid w:val="00AB774F"/>
    <w:rsid w:val="00AD0E1D"/>
    <w:rsid w:val="00AE30B6"/>
    <w:rsid w:val="00AF272C"/>
    <w:rsid w:val="00AF2943"/>
    <w:rsid w:val="00AF7F30"/>
    <w:rsid w:val="00B029D5"/>
    <w:rsid w:val="00B260B5"/>
    <w:rsid w:val="00B376B4"/>
    <w:rsid w:val="00B72CA4"/>
    <w:rsid w:val="00B93EF0"/>
    <w:rsid w:val="00C04649"/>
    <w:rsid w:val="00C12A6F"/>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5392"/>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5D4"/>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ShowFootnote('ftn80_section184');" TargetMode="External"/><Relationship Id="rId18" Type="http://schemas.openxmlformats.org/officeDocument/2006/relationships/hyperlink" Target="javascript:ShowMainContent('Act',%20'CMSID',%20'102120000000058049',%20'');" TargetMode="External"/><Relationship Id="rId26" Type="http://schemas.openxmlformats.org/officeDocument/2006/relationships/hyperlink" Target="javascript:ShowMainContent('Act',%20'CMSID',%20'102120000000058085',%20'');" TargetMode="External"/><Relationship Id="rId39" Type="http://schemas.openxmlformats.org/officeDocument/2006/relationships/hyperlink" Target="javascript:ShowMainContent('Act',%20'CMSID',%20'102120000000058023',%20'');" TargetMode="External"/><Relationship Id="rId21" Type="http://schemas.openxmlformats.org/officeDocument/2006/relationships/hyperlink" Target="javascript:ShowFootnote('ftn30_section28');" TargetMode="External"/><Relationship Id="rId34" Type="http://schemas.openxmlformats.org/officeDocument/2006/relationships/hyperlink" Target="javascript:ShowMainContent('Act',%20'CMSID',%20'102120000000058382',%20'');" TargetMode="External"/><Relationship Id="rId42" Type="http://schemas.openxmlformats.org/officeDocument/2006/relationships/hyperlink" Target="javascript:ShowMainContent('Act',%20'CMSID',%20'102120000000058678',%20'');" TargetMode="External"/><Relationship Id="rId47" Type="http://schemas.openxmlformats.org/officeDocument/2006/relationships/hyperlink" Target="javascript:ShowMainContent('Act',%20'CMSID',%20'102120000000058230',%20'');" TargetMode="External"/><Relationship Id="rId50" Type="http://schemas.openxmlformats.org/officeDocument/2006/relationships/hyperlink" Target="javascript:ShowMainContent('Act',%20'CMSID',%20'102120000000058093',%20'');" TargetMode="External"/><Relationship Id="rId55" Type="http://schemas.openxmlformats.org/officeDocument/2006/relationships/hyperlink" Target="javascript:ShowMainContent('Act',%20'CMSID',%20'102120000000058099',%20'');" TargetMode="External"/><Relationship Id="rId7" Type="http://schemas.openxmlformats.org/officeDocument/2006/relationships/endnotes" Target="endnotes.xml"/><Relationship Id="rId12" Type="http://schemas.openxmlformats.org/officeDocument/2006/relationships/hyperlink" Target="javascript:ShowMainContent('Act',%20'CMSID',%20'102120000000058049',%20'');" TargetMode="External"/><Relationship Id="rId17" Type="http://schemas.openxmlformats.org/officeDocument/2006/relationships/hyperlink" Target="javascript:ShowMainContent('Act',%20'CMSID',%20'102120000000058571',%20'');" TargetMode="External"/><Relationship Id="rId25" Type="http://schemas.openxmlformats.org/officeDocument/2006/relationships/hyperlink" Target="javascript:ShowMainContent('Act',%20'CMSID',%20'102120000000058051',%20'');" TargetMode="External"/><Relationship Id="rId33" Type="http://schemas.openxmlformats.org/officeDocument/2006/relationships/hyperlink" Target="javascript:ShowFootnote('ftn3_section40');" TargetMode="External"/><Relationship Id="rId38" Type="http://schemas.openxmlformats.org/officeDocument/2006/relationships/hyperlink" Target="javascript:ShowMainContent('Act',%20'CMSID',%20'102120000000058676',%20'');" TargetMode="External"/><Relationship Id="rId46" Type="http://schemas.openxmlformats.org/officeDocument/2006/relationships/hyperlink" Target="javascript:ShowMainContent('Act',%20'CMSID',%20'102120000000058231',%20'');"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javascript:ShowMainContent('Act',%20'CMSID',%20'102120000000058571',%20'');" TargetMode="External"/><Relationship Id="rId20" Type="http://schemas.openxmlformats.org/officeDocument/2006/relationships/hyperlink" Target="javascript:ShowFootnote('ftn30_section28');" TargetMode="External"/><Relationship Id="rId29" Type="http://schemas.openxmlformats.org/officeDocument/2006/relationships/hyperlink" Target="javascript:ShowFootnote('ftn2_section40');" TargetMode="External"/><Relationship Id="rId41" Type="http://schemas.openxmlformats.org/officeDocument/2006/relationships/hyperlink" Target="javascript:ShowMainContent('Act',%20'CMSID',%20'102120000000058659',%20'');" TargetMode="External"/><Relationship Id="rId54" Type="http://schemas.openxmlformats.org/officeDocument/2006/relationships/hyperlink" Target="javascript:ShowMainContent('Act',%20'CMSID',%20'102120000000058098',%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ShowMainContent('Act',%20'CMSID',%20'102120000000058571',%20'');" TargetMode="External"/><Relationship Id="rId24" Type="http://schemas.openxmlformats.org/officeDocument/2006/relationships/hyperlink" Target="javascript:ShowMainContent('Act',%20'CMSID',%20'102120000000058071',%20'');" TargetMode="External"/><Relationship Id="rId32" Type="http://schemas.openxmlformats.org/officeDocument/2006/relationships/hyperlink" Target="javascript:ShowMainContent('Act',%20'CMSID',%20'102120000000058023',%20'');" TargetMode="External"/><Relationship Id="rId37" Type="http://schemas.openxmlformats.org/officeDocument/2006/relationships/hyperlink" Target="javascript:ShowMainContent('Act',%20'CMSID',%20'102120000000058718',%20'');" TargetMode="External"/><Relationship Id="rId40" Type="http://schemas.openxmlformats.org/officeDocument/2006/relationships/hyperlink" Target="javascript:ShowMainContent('Act',%20'CMSID',%20'102120000000058686',%20'');" TargetMode="External"/><Relationship Id="rId45" Type="http://schemas.openxmlformats.org/officeDocument/2006/relationships/hyperlink" Target="javascript:ShowMainContent('Act',%20'CMSID',%20'102120000000058749',%20'');" TargetMode="External"/><Relationship Id="rId53" Type="http://schemas.openxmlformats.org/officeDocument/2006/relationships/hyperlink" Target="javascript:ShowMainContent('Act',%20'CMSID',%20'102120000000058085',%20'');"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javascript:ShowMainContent('Act',%20'CMSID',%20'102120000000058049',%20'');" TargetMode="External"/><Relationship Id="rId23" Type="http://schemas.openxmlformats.org/officeDocument/2006/relationships/hyperlink" Target="javascript:ShowMainContent('Act',%20'CMSID',%20'102120000000058740',%20'');" TargetMode="External"/><Relationship Id="rId28" Type="http://schemas.openxmlformats.org/officeDocument/2006/relationships/hyperlink" Target="javascript:ShowMainContent('Act',%20'CMSID',%20'102120000000058382',%20'');" TargetMode="External"/><Relationship Id="rId36" Type="http://schemas.openxmlformats.org/officeDocument/2006/relationships/hyperlink" Target="javascript:ShowFootnote('ftn4_section40');" TargetMode="External"/><Relationship Id="rId49" Type="http://schemas.openxmlformats.org/officeDocument/2006/relationships/hyperlink" Target="javascript:ShowMainContent('Act',%20'CMSID',%20'102120000000058049',%20'');" TargetMode="External"/><Relationship Id="rId57" Type="http://schemas.openxmlformats.org/officeDocument/2006/relationships/footer" Target="footer1.xml"/><Relationship Id="rId10" Type="http://schemas.openxmlformats.org/officeDocument/2006/relationships/hyperlink" Target="javascript:ShowMainContent('Act',%20'CMSID',%20'102120000000058085',%20'');" TargetMode="External"/><Relationship Id="rId19" Type="http://schemas.openxmlformats.org/officeDocument/2006/relationships/hyperlink" Target="javascript:ShowMainContent('Act',%20'CMSID',%20'102120000000058086',%20'');" TargetMode="External"/><Relationship Id="rId31" Type="http://schemas.openxmlformats.org/officeDocument/2006/relationships/hyperlink" Target="javascript:ShowMainContent('Act',%20'CMSID',%20'102120000000058023',%20'');" TargetMode="External"/><Relationship Id="rId44" Type="http://schemas.openxmlformats.org/officeDocument/2006/relationships/hyperlink" Target="javascript:ShowFootnote('ftn5_section40');" TargetMode="External"/><Relationship Id="rId52" Type="http://schemas.openxmlformats.org/officeDocument/2006/relationships/hyperlink" Target="javascript:ShowMainContent('Act',%20'CMSID',%20'102120000000058051',%20'');" TargetMode="External"/><Relationship Id="rId4" Type="http://schemas.openxmlformats.org/officeDocument/2006/relationships/settings" Target="settings.xml"/><Relationship Id="rId9" Type="http://schemas.openxmlformats.org/officeDocument/2006/relationships/hyperlink" Target="javascript:ShowMainContent('Act',%20'CMSID',%20'102120000000058051',%20'');" TargetMode="External"/><Relationship Id="rId14" Type="http://schemas.openxmlformats.org/officeDocument/2006/relationships/hyperlink" Target="javascript:ShowMainContent('Act',%20'CMSID',%20'102120000000058409',%20'');" TargetMode="External"/><Relationship Id="rId22" Type="http://schemas.openxmlformats.org/officeDocument/2006/relationships/hyperlink" Target="javascript:ShowFootnote('ftn30_section28');" TargetMode="External"/><Relationship Id="rId27" Type="http://schemas.openxmlformats.org/officeDocument/2006/relationships/hyperlink" Target="javascript:ShowFootnote('ftn1_section40');" TargetMode="External"/><Relationship Id="rId30" Type="http://schemas.openxmlformats.org/officeDocument/2006/relationships/hyperlink" Target="javascript:ShowMainContent('Act',%20'CMSID',%20'102120000000058382',%20'');" TargetMode="External"/><Relationship Id="rId35" Type="http://schemas.openxmlformats.org/officeDocument/2006/relationships/hyperlink" Target="javascript:ShowMainContent('Act',%20'CMSID',%20'102120000000058382',%20'');" TargetMode="External"/><Relationship Id="rId43" Type="http://schemas.openxmlformats.org/officeDocument/2006/relationships/hyperlink" Target="javascript:ShowMainContent('Act',%20'CMSID',%20'102120000000058023',%20'');" TargetMode="External"/><Relationship Id="rId48" Type="http://schemas.openxmlformats.org/officeDocument/2006/relationships/hyperlink" Target="javascript:ShowMainContent('Act',%20'CMSID',%20'102120000000058740',%20'');" TargetMode="External"/><Relationship Id="rId56" Type="http://schemas.openxmlformats.org/officeDocument/2006/relationships/header" Target="header1.xml"/><Relationship Id="rId8" Type="http://schemas.openxmlformats.org/officeDocument/2006/relationships/hyperlink" Target="javascript:ShowMainContent('Act',%20'CMSID',%20'102120000000058086',%20'');" TargetMode="External"/><Relationship Id="rId51" Type="http://schemas.openxmlformats.org/officeDocument/2006/relationships/hyperlink" Target="javascript:ShowMainContent('Act',%20'CMSID',%20'102120000000058098',%20'');"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396F3-F99A-4785-816F-A5AA81AAC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5238</Words>
  <Characters>29863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2</cp:revision>
  <dcterms:created xsi:type="dcterms:W3CDTF">2017-03-09T13:53:00Z</dcterms:created>
  <dcterms:modified xsi:type="dcterms:W3CDTF">2017-03-09T13:53:00Z</dcterms:modified>
</cp:coreProperties>
</file>